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5663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6699"/>
          </w:tcPr>
          <w:p w:rsidR="00D73EB5" w:rsidRPr="00D71B99" w:rsidRDefault="00541139" w:rsidP="0056149A">
            <w:pPr>
              <w:rPr>
                <w:color w:val="FF0000"/>
                <w:sz w:val="24"/>
                <w:szCs w:val="24"/>
              </w:rPr>
            </w:pPr>
            <w:r w:rsidRPr="00541139">
              <w:rPr>
                <w:color w:val="000000" w:themeColor="text1"/>
                <w:sz w:val="24"/>
                <w:szCs w:val="24"/>
              </w:rPr>
              <w:t>Unterwasserstrahlmassage</w:t>
            </w:r>
            <w:r>
              <w:rPr>
                <w:color w:val="000000" w:themeColor="text1"/>
                <w:sz w:val="24"/>
                <w:szCs w:val="24"/>
              </w:rPr>
              <w:t xml:space="preserve"> (UWDM)</w:t>
            </w:r>
          </w:p>
        </w:tc>
      </w:tr>
      <w:tr w:rsidR="007924E7" w:rsidRPr="003B358B" w:rsidTr="005663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CCFF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541139" w:rsidRPr="003B358B" w:rsidTr="005663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541139" w:rsidRDefault="00541139" w:rsidP="00541139">
            <w:pPr>
              <w:pStyle w:val="berschrift2"/>
              <w:spacing w:before="0" w:after="120"/>
              <w:outlineLvl w:val="1"/>
              <w:rPr>
                <w:rFonts w:ascii="Calibri" w:hAnsi="Calibri"/>
                <w:b w:val="0"/>
                <w:color w:val="auto"/>
                <w:sz w:val="22"/>
                <w:szCs w:val="22"/>
              </w:rPr>
            </w:pPr>
            <w:r w:rsidRPr="00B06CB2">
              <w:rPr>
                <w:rFonts w:ascii="Calibri" w:hAnsi="Calibri"/>
                <w:b w:val="0"/>
                <w:color w:val="auto"/>
                <w:sz w:val="22"/>
                <w:szCs w:val="22"/>
              </w:rPr>
              <w:t>Die Anwendung wird in einer speziellen</w:t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(mit Wasser gefüllten)</w:t>
            </w:r>
            <w:r w:rsidRPr="00B06CB2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Wanne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 w:rsidRPr="00B06CB2">
              <w:rPr>
                <w:rFonts w:ascii="Calibri" w:hAnsi="Calibri"/>
                <w:b w:val="0"/>
                <w:color w:val="auto"/>
                <w:sz w:val="22"/>
                <w:szCs w:val="22"/>
              </w:rPr>
              <w:t>durchgeführt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, </w:t>
            </w:r>
            <w:r w:rsidRPr="00B06CB2">
              <w:rPr>
                <w:rFonts w:ascii="Calibri" w:hAnsi="Calibri"/>
                <w:b w:val="0"/>
                <w:color w:val="auto"/>
                <w:sz w:val="22"/>
                <w:szCs w:val="22"/>
              </w:rPr>
              <w:t>die einen Schlauc</w:t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>h mit Düse und eine Pumpvorrichtung</w:t>
            </w:r>
            <w:r w:rsidRPr="00B06CB2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besitzt.</w:t>
            </w:r>
            <w:r>
              <w:rPr>
                <w:rFonts w:ascii="Calibri" w:hAnsi="Calibri"/>
                <w:b w:val="0"/>
                <w:sz w:val="22"/>
                <w:szCs w:val="22"/>
              </w:rPr>
              <w:t xml:space="preserve"> </w:t>
            </w:r>
            <w:r w:rsidRPr="005477AF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Der Therapeut führt hierbei streichende/ kreisende Bewegungen mit der Therapiedüse </w:t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>(</w:t>
            </w:r>
            <w:r w:rsidRPr="005477AF">
              <w:rPr>
                <w:rFonts w:ascii="Calibri" w:hAnsi="Calibri"/>
                <w:b w:val="0"/>
                <w:color w:val="auto"/>
                <w:sz w:val="22"/>
                <w:szCs w:val="22"/>
              </w:rPr>
              <w:t>und dem so gebündelten Wasserstrahl</w:t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>)</w:t>
            </w:r>
            <w:r w:rsidRPr="005477AF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über den </w:t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>zu behandeln</w:t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softHyphen/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>d</w:t>
            </w:r>
            <w:r w:rsidRPr="005477AF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en Körperarealen aus. </w:t>
            </w:r>
          </w:p>
          <w:p w:rsidR="00541139" w:rsidRPr="005477AF" w:rsidRDefault="00541139" w:rsidP="00541139">
            <w:pPr>
              <w:pStyle w:val="berschrift2"/>
              <w:outlineLvl w:val="1"/>
            </w:pP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>Das über Schlauch-/ Pumpsystem transportierte Wasser wird</w:t>
            </w:r>
            <w:r w:rsidRPr="005477AF">
              <w:rPr>
                <w:rFonts w:ascii="Calibri" w:hAnsi="Calibri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 w:val="0"/>
                <w:color w:val="auto"/>
                <w:sz w:val="22"/>
                <w:szCs w:val="22"/>
              </w:rPr>
              <w:t>im Rahmen eines Kreislaufs aus der gefüllten Wanne entnommen.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541139" w:rsidRPr="00F263B3" w:rsidRDefault="00541139" w:rsidP="005411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Der </w:t>
            </w:r>
            <w:r w:rsidRPr="00F263B3">
              <w:t xml:space="preserve">Behandlungsraum </w:t>
            </w:r>
            <w:r>
              <w:t xml:space="preserve">enthält i.d.R. eine integrierte/ vorgeschaltete </w:t>
            </w:r>
            <w:r w:rsidRPr="00F263B3">
              <w:t xml:space="preserve">Umkleidemöglichkeit. Der entkleidete </w:t>
            </w:r>
            <w:r>
              <w:t xml:space="preserve">Rehabilitand </w:t>
            </w:r>
            <w:r w:rsidRPr="00F263B3">
              <w:t xml:space="preserve">gelangt selbständig in die Wanne, kann aber auch ggf. mit Hilfe eines „Lifters“ in die Wanne gehoben werden. Nach der Behandlung trocknet sich </w:t>
            </w:r>
            <w:r>
              <w:t xml:space="preserve">der </w:t>
            </w:r>
            <w:r w:rsidRPr="00F263B3">
              <w:t xml:space="preserve">Rehabilitand </w:t>
            </w:r>
            <w:r>
              <w:t>ab (z.T. wird nach der Therapie geduscht), kleidet sich</w:t>
            </w:r>
            <w:r w:rsidRPr="00F263B3">
              <w:t xml:space="preserve"> an und verlässt den Raum. </w:t>
            </w:r>
          </w:p>
        </w:tc>
      </w:tr>
      <w:tr w:rsidR="001D0440" w:rsidRPr="003B358B" w:rsidTr="005663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CCFF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541139" w:rsidP="00566397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0"/>
                <w:szCs w:val="20"/>
              </w:rPr>
              <w:t xml:space="preserve">Ggf. </w:t>
            </w:r>
            <w:r>
              <w:rPr>
                <w:b w:val="0"/>
                <w:sz w:val="21"/>
                <w:szCs w:val="21"/>
              </w:rPr>
              <w:t>Urin, Perianalflora, Stuhl</w:t>
            </w:r>
          </w:p>
        </w:tc>
      </w:tr>
      <w:tr w:rsidR="001D0440" w:rsidRPr="003B358B" w:rsidTr="005411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541139" w:rsidRPr="003B358B" w:rsidTr="005411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8" w:space="0" w:color="000000" w:themeColor="text1"/>
            </w:tcBorders>
            <w:shd w:val="clear" w:color="auto" w:fill="FFFFFF" w:themeFill="background1"/>
          </w:tcPr>
          <w:p w:rsidR="00541139" w:rsidRPr="00B81CFF" w:rsidRDefault="00541139" w:rsidP="00541139">
            <w:pPr>
              <w:pStyle w:val="Listenabsatz"/>
              <w:numPr>
                <w:ilvl w:val="0"/>
                <w:numId w:val="14"/>
              </w:numPr>
              <w:ind w:left="732" w:hanging="427"/>
              <w:rPr>
                <w:b w:val="0"/>
                <w:sz w:val="21"/>
                <w:szCs w:val="21"/>
              </w:rPr>
            </w:pPr>
            <w:r w:rsidRPr="00B81CFF">
              <w:rPr>
                <w:b w:val="0"/>
                <w:sz w:val="21"/>
                <w:szCs w:val="21"/>
              </w:rPr>
              <w:t xml:space="preserve">Hände und </w:t>
            </w:r>
            <w:r>
              <w:rPr>
                <w:b w:val="0"/>
                <w:sz w:val="21"/>
                <w:szCs w:val="21"/>
              </w:rPr>
              <w:t>A</w:t>
            </w:r>
            <w:r w:rsidRPr="00B81CFF">
              <w:rPr>
                <w:b w:val="0"/>
                <w:sz w:val="21"/>
                <w:szCs w:val="21"/>
              </w:rPr>
              <w:t>rme des Therapeuten</w:t>
            </w:r>
          </w:p>
        </w:tc>
        <w:tc>
          <w:tcPr>
            <w:tcW w:w="4678" w:type="dxa"/>
            <w:tcBorders>
              <w:left w:val="single" w:sz="8" w:space="0" w:color="000000" w:themeColor="text1"/>
            </w:tcBorders>
            <w:shd w:val="clear" w:color="auto" w:fill="FFFFFF" w:themeFill="background1"/>
          </w:tcPr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Hautkontakte des Therapeuten zum </w:t>
            </w:r>
            <w:r>
              <w:rPr>
                <w:sz w:val="21"/>
                <w:szCs w:val="21"/>
              </w:rPr>
              <w:t xml:space="preserve">Rehabilitanden </w:t>
            </w:r>
            <w:r w:rsidRPr="002F50C3">
              <w:rPr>
                <w:sz w:val="21"/>
                <w:szCs w:val="21"/>
              </w:rPr>
              <w:t>beim Ein-/Aus</w:t>
            </w:r>
            <w:r>
              <w:rPr>
                <w:sz w:val="21"/>
                <w:szCs w:val="21"/>
              </w:rPr>
              <w:t>steigen aus der Wanne möglich</w:t>
            </w:r>
          </w:p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Kontamination  der Arme bei der UWD</w:t>
            </w:r>
            <w:r>
              <w:rPr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541139" w:rsidRPr="003B358B" w:rsidTr="005411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single" w:sz="8" w:space="0" w:color="000000" w:themeColor="text1"/>
            </w:tcBorders>
            <w:shd w:val="clear" w:color="auto" w:fill="FFFFFF" w:themeFill="background1"/>
          </w:tcPr>
          <w:p w:rsidR="00541139" w:rsidRPr="009D3437" w:rsidRDefault="00541139" w:rsidP="00541139">
            <w:pPr>
              <w:pStyle w:val="Listenabsatz"/>
              <w:numPr>
                <w:ilvl w:val="0"/>
                <w:numId w:val="5"/>
              </w:numPr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Unmittelbare Patientenumgebung</w:t>
            </w:r>
          </w:p>
        </w:tc>
        <w:tc>
          <w:tcPr>
            <w:tcW w:w="4678" w:type="dxa"/>
            <w:tcBorders>
              <w:left w:val="single" w:sz="8" w:space="0" w:color="000000" w:themeColor="text1"/>
            </w:tcBorders>
            <w:shd w:val="clear" w:color="auto" w:fill="FFFFFF" w:themeFill="background1"/>
          </w:tcPr>
          <w:p w:rsidR="00541139" w:rsidRPr="005477AF" w:rsidRDefault="00541139" w:rsidP="00541139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1D23C1">
              <w:t>Biostoffaustausch beim Auskleiden</w:t>
            </w:r>
          </w:p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1D23C1">
              <w:t>Hautkontakte des Patienten mit der Wanne, mit Griffläufern beim Einsteigen</w:t>
            </w:r>
            <w:r>
              <w:t>, ggf. mit Liftern, Nackenkissen, Fußstütze</w:t>
            </w:r>
          </w:p>
        </w:tc>
      </w:tr>
      <w:tr w:rsidR="00541139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>
              <w:rPr>
                <w:b w:val="0"/>
              </w:rPr>
              <w:t>Wanne und Rückflusssystem/Pumpensystem der UWDM-Einheit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Beim Badevorgang </w:t>
            </w:r>
          </w:p>
        </w:tc>
      </w:tr>
      <w:tr w:rsidR="00541139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Umkleide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Hautkontakte </w:t>
            </w:r>
            <w:r>
              <w:rPr>
                <w:sz w:val="21"/>
                <w:szCs w:val="21"/>
              </w:rPr>
              <w:t>des Rehabilitanden</w:t>
            </w:r>
          </w:p>
        </w:tc>
      </w:tr>
      <w:tr w:rsidR="00541139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541139" w:rsidRDefault="00541139" w:rsidP="00541139">
            <w:pPr>
              <w:pStyle w:val="Listenabsatz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2F50C3">
              <w:rPr>
                <w:b w:val="0"/>
                <w:sz w:val="21"/>
                <w:szCs w:val="21"/>
              </w:rPr>
              <w:t>Duschort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541139" w:rsidRPr="002F50C3" w:rsidRDefault="00541139" w:rsidP="00541139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Spritzwasser vom Duschen</w:t>
            </w:r>
          </w:p>
        </w:tc>
      </w:tr>
      <w:tr w:rsidR="00541139" w:rsidRPr="008F359F" w:rsidTr="005663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CCFF"/>
          </w:tcPr>
          <w:p w:rsidR="00541139" w:rsidRPr="008F359F" w:rsidRDefault="00541139" w:rsidP="00541139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rPr>
                <w:b w:val="0"/>
                <w:bCs w:val="0"/>
              </w:rPr>
              <w:br w:type="page"/>
            </w:r>
            <w:r w:rsidRPr="008F359F">
              <w:rPr>
                <w:color w:val="000000" w:themeColor="text1"/>
              </w:rPr>
              <w:t xml:space="preserve">Anwendungsspezifische Maßnahmen der </w:t>
            </w:r>
            <w:r w:rsidRPr="008F359F">
              <w:rPr>
                <w:color w:val="000000" w:themeColor="text1"/>
                <w:u w:val="single"/>
              </w:rPr>
              <w:t>Basishygiene</w:t>
            </w:r>
            <w:r w:rsidRPr="008F359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541139" w:rsidRPr="003B358B" w:rsidTr="005663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541139" w:rsidRDefault="00541139" w:rsidP="00541139">
            <w:pPr>
              <w:pStyle w:val="Listenabsatz"/>
              <w:numPr>
                <w:ilvl w:val="0"/>
                <w:numId w:val="6"/>
              </w:numPr>
              <w:rPr>
                <w:b w:val="0"/>
              </w:rPr>
            </w:pPr>
            <w:r w:rsidRPr="002615AA">
              <w:rPr>
                <w:b w:val="0"/>
              </w:rPr>
              <w:t>Wischdesinfektion der Wanne</w:t>
            </w:r>
            <w:r>
              <w:rPr>
                <w:b w:val="0"/>
              </w:rPr>
              <w:t xml:space="preserve"> und Griffläufe, Kissen, Fußstützen, ggf. Liftereinheit </w:t>
            </w:r>
            <w:r w:rsidRPr="004C43F4">
              <w:rPr>
                <w:b w:val="0"/>
              </w:rPr>
              <w:t>nach jedem Gebrauch</w:t>
            </w:r>
          </w:p>
          <w:p w:rsidR="00541139" w:rsidRPr="003B358B" w:rsidRDefault="00541139" w:rsidP="00541139">
            <w:pPr>
              <w:pStyle w:val="Listenabsatz"/>
              <w:numPr>
                <w:ilvl w:val="0"/>
                <w:numId w:val="6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b w:val="0"/>
              </w:rPr>
              <w:t>Desinfizierende Reinigung der Wanne, des Schlauchsystems, der Düsen und restlichen Einhei</w:t>
            </w:r>
            <w:r w:rsidRPr="00B24677">
              <w:rPr>
                <w:b w:val="0"/>
              </w:rPr>
              <w:t xml:space="preserve">t, sowie </w:t>
            </w:r>
            <w:r w:rsidRPr="002615AA">
              <w:rPr>
                <w:b w:val="0"/>
              </w:rPr>
              <w:t xml:space="preserve"> des Schlauchs/der Düse</w:t>
            </w:r>
            <w:r>
              <w:rPr>
                <w:b w:val="0"/>
              </w:rPr>
              <w:t xml:space="preserve"> </w:t>
            </w:r>
            <w:r w:rsidRPr="004C43F4">
              <w:rPr>
                <w:b w:val="0"/>
              </w:rPr>
              <w:t>nach jedem Gebrauch (Herstellerangeben beachten)</w:t>
            </w:r>
          </w:p>
        </w:tc>
      </w:tr>
      <w:tr w:rsidR="00541139" w:rsidRPr="008E3E5B" w:rsidTr="005663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CCFF"/>
          </w:tcPr>
          <w:p w:rsidR="00541139" w:rsidRPr="008E3E5B" w:rsidRDefault="00541139" w:rsidP="00541139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br w:type="page"/>
            </w:r>
            <w:r w:rsidRPr="008E3E5B">
              <w:rPr>
                <w:color w:val="000000" w:themeColor="text1"/>
              </w:rPr>
              <w:t>Ergänzende und abweichende Vorgehensweisen bei MRE-Besiedlung (</w:t>
            </w:r>
            <w:r w:rsidRPr="008E3E5B">
              <w:rPr>
                <w:color w:val="000000" w:themeColor="text1"/>
                <w:u w:val="single"/>
              </w:rPr>
              <w:t>Interventionsmaßnahmen</w:t>
            </w:r>
            <w:r w:rsidRPr="008E3E5B">
              <w:rPr>
                <w:color w:val="000000" w:themeColor="text1"/>
              </w:rPr>
              <w:t>)</w:t>
            </w:r>
          </w:p>
        </w:tc>
      </w:tr>
      <w:tr w:rsidR="00541139" w:rsidRPr="003B358B" w:rsidTr="005663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541139" w:rsidRPr="00FF1726" w:rsidRDefault="00541139" w:rsidP="00541139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b w:val="0"/>
                <w:sz w:val="21"/>
                <w:szCs w:val="21"/>
              </w:rPr>
              <w:t>Entfällt, da die beschriebene Maßnahme im Regelbetrieb für MRE-positive Rehabilitanden nicht geeignet ist,  bedingt durch u.a. die lange Einwirkzeit der Desinfektionsmittel im Pumpenbereich.</w:t>
            </w:r>
          </w:p>
        </w:tc>
      </w:tr>
    </w:tbl>
    <w:p w:rsidR="00541139" w:rsidRDefault="00541139">
      <w:r>
        <w:rPr>
          <w:b/>
          <w:bCs/>
        </w:rPr>
        <w:br w:type="page"/>
      </w:r>
    </w:p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39"/>
      </w:tblGrid>
      <w:tr w:rsidR="00541139" w:rsidRPr="003B358B" w:rsidTr="005411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CCFF"/>
          </w:tcPr>
          <w:p w:rsidR="00541139" w:rsidRPr="003B358B" w:rsidRDefault="00541139" w:rsidP="00541139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541139">
              <w:rPr>
                <w:color w:val="000000" w:themeColor="text1"/>
              </w:rPr>
              <w:lastRenderedPageBreak/>
              <w:t>Gesonderte Situationen und Ergänzendes</w:t>
            </w:r>
          </w:p>
        </w:tc>
      </w:tr>
      <w:tr w:rsidR="00541139" w:rsidRPr="003B358B" w:rsidTr="005411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541139" w:rsidRPr="007D5AB6" w:rsidRDefault="00541139" w:rsidP="00541139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4C43F4">
              <w:rPr>
                <w:b w:val="0"/>
              </w:rPr>
              <w:t>Denkbar wäre lediglich die Behandlung des MRE-positiven Rehabilitanden als letztes Glied in der arbeitstäglichen Behandlungsfolge, um im Anschluss Desinfektionsmittel-Einwirkzeiten einhalten zu können</w:t>
            </w:r>
            <w:r>
              <w:rPr>
                <w:b w:val="0"/>
              </w:rPr>
              <w:t>. Hier sind Absprachen mit dem beratenden Krankenhaushygienikers zu treffen.</w:t>
            </w:r>
          </w:p>
        </w:tc>
      </w:tr>
      <w:tr w:rsidR="00541139" w:rsidRPr="003B358B" w:rsidTr="005663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CCFF"/>
          </w:tcPr>
          <w:p w:rsidR="00541139" w:rsidRDefault="00541139" w:rsidP="00541139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541139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541139" w:rsidRPr="00180A5C" w:rsidRDefault="00541139" w:rsidP="00541139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 w:rsidRPr="00233870">
              <w:rPr>
                <w:b w:val="0"/>
              </w:rPr>
              <w:t>Betriebsanleitung der Hersteller zur hygienischen Aufbereitung der Wann</w:t>
            </w:r>
            <w:r>
              <w:rPr>
                <w:b w:val="0"/>
              </w:rPr>
              <w:t>e</w:t>
            </w:r>
            <w:r w:rsidRPr="00233870">
              <w:rPr>
                <w:b w:val="0"/>
              </w:rPr>
              <w:t xml:space="preserve"> und des Pumpensystems</w:t>
            </w:r>
            <w:bookmarkStart w:id="0" w:name="_GoBack"/>
            <w:bookmarkEnd w:id="0"/>
          </w:p>
        </w:tc>
      </w:tr>
    </w:tbl>
    <w:p w:rsidR="00BD2737" w:rsidRDefault="00BD2737"/>
    <w:sectPr w:rsidR="00BD2737" w:rsidSect="008B6B26">
      <w:headerReference w:type="default" r:id="rId7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541139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541139">
            <w:rPr>
              <w:sz w:val="24"/>
              <w:szCs w:val="24"/>
            </w:rPr>
            <w:t>Unterwasserstrahlmassage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41139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541139">
            <w:fldChar w:fldCharType="begin"/>
          </w:r>
          <w:r w:rsidR="00541139">
            <w:instrText xml:space="preserve"> NUMPAGES  \* Arabic  \* MERGEFORMAT </w:instrText>
          </w:r>
          <w:r w:rsidR="00541139">
            <w:fldChar w:fldCharType="separate"/>
          </w:r>
          <w:r w:rsidR="00541139">
            <w:rPr>
              <w:noProof/>
            </w:rPr>
            <w:t>2</w:t>
          </w:r>
          <w:r w:rsidR="00541139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4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8"/>
  </w:num>
  <w:num w:numId="14">
    <w:abstractNumId w:val="13"/>
  </w:num>
  <w:num w:numId="15">
    <w:abstractNumId w:val="16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74D1A"/>
    <w:rsid w:val="00091E7B"/>
    <w:rsid w:val="000D0313"/>
    <w:rsid w:val="000E0542"/>
    <w:rsid w:val="00180A5C"/>
    <w:rsid w:val="001D0440"/>
    <w:rsid w:val="001D2136"/>
    <w:rsid w:val="00207503"/>
    <w:rsid w:val="0021637D"/>
    <w:rsid w:val="002B3F44"/>
    <w:rsid w:val="002F1AE1"/>
    <w:rsid w:val="002F50C3"/>
    <w:rsid w:val="003148E4"/>
    <w:rsid w:val="003169FF"/>
    <w:rsid w:val="003414BA"/>
    <w:rsid w:val="003B358B"/>
    <w:rsid w:val="003C7844"/>
    <w:rsid w:val="00430729"/>
    <w:rsid w:val="00451CD8"/>
    <w:rsid w:val="00471438"/>
    <w:rsid w:val="004876E2"/>
    <w:rsid w:val="0051317A"/>
    <w:rsid w:val="005263FF"/>
    <w:rsid w:val="00541139"/>
    <w:rsid w:val="0056149A"/>
    <w:rsid w:val="00566397"/>
    <w:rsid w:val="005A00B3"/>
    <w:rsid w:val="005B0D28"/>
    <w:rsid w:val="00617624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E3E5B"/>
    <w:rsid w:val="008F1F8E"/>
    <w:rsid w:val="008F359F"/>
    <w:rsid w:val="009242F4"/>
    <w:rsid w:val="0095731B"/>
    <w:rsid w:val="00966C55"/>
    <w:rsid w:val="009749DA"/>
    <w:rsid w:val="009D3437"/>
    <w:rsid w:val="009E77FF"/>
    <w:rsid w:val="00A44E6E"/>
    <w:rsid w:val="00A7761C"/>
    <w:rsid w:val="00A823F1"/>
    <w:rsid w:val="00B2101D"/>
    <w:rsid w:val="00BD2737"/>
    <w:rsid w:val="00BE0656"/>
    <w:rsid w:val="00BE0ACC"/>
    <w:rsid w:val="00C14245"/>
    <w:rsid w:val="00C76678"/>
    <w:rsid w:val="00CC0681"/>
    <w:rsid w:val="00CC1B82"/>
    <w:rsid w:val="00CE72E7"/>
    <w:rsid w:val="00D67CE7"/>
    <w:rsid w:val="00D71B99"/>
    <w:rsid w:val="00D73EB5"/>
    <w:rsid w:val="00E00A34"/>
    <w:rsid w:val="00E530EA"/>
    <w:rsid w:val="00ED1AC2"/>
    <w:rsid w:val="00EE6D7C"/>
    <w:rsid w:val="00F001B8"/>
    <w:rsid w:val="00F2453F"/>
    <w:rsid w:val="00F26F4E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AD5F0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11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11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2020-01-22T12:31:00Z</dcterms:created>
  <dcterms:modified xsi:type="dcterms:W3CDTF">2020-01-22T12:31:00Z</dcterms:modified>
</cp:coreProperties>
</file>