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D73EB5" w:rsidRPr="003B358B" w:rsidTr="00A4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none" w:sz="0" w:space="0" w:color="auto"/>
              <w:left w:val="none" w:sz="0" w:space="0" w:color="auto"/>
              <w:bottom w:val="single" w:sz="8" w:space="0" w:color="000000" w:themeColor="text1"/>
              <w:right w:val="none" w:sz="0" w:space="0" w:color="auto"/>
            </w:tcBorders>
            <w:shd w:val="clear" w:color="auto" w:fill="FFFF00"/>
          </w:tcPr>
          <w:p w:rsidR="00D73EB5" w:rsidRPr="00D71B99" w:rsidRDefault="00810149" w:rsidP="0056149A">
            <w:pPr>
              <w:rPr>
                <w:color w:val="FF0000"/>
                <w:sz w:val="24"/>
                <w:szCs w:val="24"/>
              </w:rPr>
            </w:pPr>
            <w:r>
              <w:rPr>
                <w:color w:val="auto"/>
                <w:sz w:val="24"/>
                <w:szCs w:val="24"/>
              </w:rPr>
              <w:t>Kneipp-Anwendungen</w:t>
            </w:r>
          </w:p>
        </w:tc>
      </w:tr>
      <w:tr w:rsidR="007924E7" w:rsidRPr="003B358B" w:rsidTr="00A44E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CC"/>
          </w:tcPr>
          <w:p w:rsidR="007924E7" w:rsidRPr="002F50C3" w:rsidRDefault="007924E7" w:rsidP="00617624">
            <w:pPr>
              <w:pStyle w:val="Listenabsatz"/>
              <w:numPr>
                <w:ilvl w:val="0"/>
                <w:numId w:val="12"/>
              </w:numPr>
              <w:ind w:left="426"/>
              <w:rPr>
                <w:bCs w:val="0"/>
              </w:rPr>
            </w:pPr>
            <w:r w:rsidRPr="002F50C3">
              <w:rPr>
                <w:bCs w:val="0"/>
              </w:rPr>
              <w:t>Beschreibung der Anwendung</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7924E7" w:rsidRPr="002F50C3" w:rsidRDefault="007924E7" w:rsidP="002F50C3">
            <w:pPr>
              <w:pStyle w:val="Listenabsatz"/>
              <w:numPr>
                <w:ilvl w:val="0"/>
                <w:numId w:val="15"/>
              </w:numPr>
              <w:ind w:left="426"/>
              <w:rPr>
                <w:sz w:val="21"/>
                <w:szCs w:val="21"/>
              </w:rPr>
            </w:pPr>
            <w:r w:rsidRPr="002F50C3">
              <w:rPr>
                <w:sz w:val="21"/>
                <w:szCs w:val="21"/>
              </w:rPr>
              <w:t>Durchführung der Anwendung</w:t>
            </w:r>
          </w:p>
        </w:tc>
        <w:tc>
          <w:tcPr>
            <w:tcW w:w="4678" w:type="dxa"/>
            <w:tcBorders>
              <w:left w:val="none" w:sz="0" w:space="0" w:color="auto"/>
            </w:tcBorders>
            <w:shd w:val="clear" w:color="auto" w:fill="FFFFFF" w:themeFill="background1"/>
          </w:tcPr>
          <w:p w:rsidR="007924E7" w:rsidRPr="002F50C3" w:rsidRDefault="004876E2" w:rsidP="002F50C3">
            <w:pPr>
              <w:pStyle w:val="Listenabsatz"/>
              <w:numPr>
                <w:ilvl w:val="0"/>
                <w:numId w:val="15"/>
              </w:numPr>
              <w:ind w:left="426"/>
              <w:cnfStyle w:val="000000010000" w:firstRow="0" w:lastRow="0" w:firstColumn="0" w:lastColumn="0" w:oddVBand="0" w:evenVBand="0" w:oddHBand="0" w:evenHBand="1" w:firstRowFirstColumn="0" w:firstRowLastColumn="0" w:lastRowFirstColumn="0" w:lastRowLastColumn="0"/>
              <w:rPr>
                <w:b/>
                <w:bCs/>
                <w:sz w:val="21"/>
                <w:szCs w:val="21"/>
              </w:rPr>
            </w:pPr>
            <w:r>
              <w:rPr>
                <w:b/>
                <w:bCs/>
                <w:sz w:val="21"/>
                <w:szCs w:val="21"/>
              </w:rPr>
              <w:t>W</w:t>
            </w:r>
            <w:r w:rsidR="007924E7" w:rsidRPr="002F50C3">
              <w:rPr>
                <w:b/>
                <w:bCs/>
                <w:sz w:val="21"/>
                <w:szCs w:val="21"/>
              </w:rPr>
              <w:t>eg</w:t>
            </w:r>
            <w:r>
              <w:rPr>
                <w:b/>
                <w:bCs/>
                <w:sz w:val="21"/>
                <w:szCs w:val="21"/>
              </w:rPr>
              <w:t xml:space="preserve"> des Rehabilitanden</w:t>
            </w:r>
          </w:p>
        </w:tc>
      </w:tr>
      <w:tr w:rsidR="00CA626D" w:rsidRPr="003B358B" w:rsidTr="00CA626D">
        <w:trPr>
          <w:cnfStyle w:val="000000100000" w:firstRow="0" w:lastRow="0" w:firstColumn="0" w:lastColumn="0" w:oddVBand="0" w:evenVBand="0" w:oddHBand="1" w:evenHBand="0" w:firstRowFirstColumn="0" w:firstRowLastColumn="0" w:lastRowFirstColumn="0" w:lastRowLastColumn="0"/>
          <w:trHeight w:val="6546"/>
        </w:trPr>
        <w:tc>
          <w:tcPr>
            <w:cnfStyle w:val="001000000000" w:firstRow="0" w:lastRow="0" w:firstColumn="1" w:lastColumn="0" w:oddVBand="0" w:evenVBand="0" w:oddHBand="0" w:evenHBand="0" w:firstRowFirstColumn="0" w:firstRowLastColumn="0" w:lastRowFirstColumn="0" w:lastRowLastColumn="0"/>
            <w:tcW w:w="4961" w:type="dxa"/>
            <w:tcBorders>
              <w:bottom w:val="single" w:sz="8" w:space="0" w:color="000000" w:themeColor="text1"/>
              <w:right w:val="none" w:sz="0" w:space="0" w:color="auto"/>
            </w:tcBorders>
            <w:shd w:val="clear" w:color="auto" w:fill="FFFFFF" w:themeFill="background1"/>
          </w:tcPr>
          <w:p w:rsidR="00CA626D" w:rsidRDefault="00CA626D" w:rsidP="00CA626D">
            <w:pPr>
              <w:spacing w:after="120"/>
              <w:rPr>
                <w:b w:val="0"/>
              </w:rPr>
            </w:pPr>
            <w:r>
              <w:rPr>
                <w:b w:val="0"/>
              </w:rPr>
              <w:t xml:space="preserve">Neben den Prinzipien „gesunde Ernährung, Wahrung der inneren Balance und körperliche Bewegung“ besteht die klassische Kneipp-Therapie aus der Anwendung von Wasser und Heilpflanzen. Ein zentraler Bestandteil der Hydrotherapie nach Kneipp sind die verschiedenen Formen der Güsse, die hier aus hygienischer Sicht beschrieben sind. </w:t>
            </w:r>
          </w:p>
          <w:p w:rsidR="00CA626D" w:rsidRDefault="00CA626D" w:rsidP="00CA626D">
            <w:pPr>
              <w:spacing w:after="120"/>
              <w:rPr>
                <w:b w:val="0"/>
              </w:rPr>
            </w:pPr>
            <w:r w:rsidRPr="00F844B0">
              <w:rPr>
                <w:b w:val="0"/>
                <w:u w:val="single"/>
              </w:rPr>
              <w:t>Wasser:</w:t>
            </w:r>
            <w:r>
              <w:rPr>
                <w:b w:val="0"/>
              </w:rPr>
              <w:t xml:space="preserve"> Zum Einsatz kommen kalt/warme oder wechselwarme Güsse, ggf. zusätzliche Nutzung eines Druckstrahls, Teilbäder und Wassertreten.</w:t>
            </w:r>
          </w:p>
          <w:p w:rsidR="00CA626D" w:rsidRDefault="00CA626D" w:rsidP="00CA626D">
            <w:pPr>
              <w:spacing w:after="120"/>
              <w:rPr>
                <w:b w:val="0"/>
              </w:rPr>
            </w:pPr>
            <w:r w:rsidRPr="00F844B0">
              <w:rPr>
                <w:b w:val="0"/>
                <w:u w:val="single"/>
              </w:rPr>
              <w:t>Pflanzen</w:t>
            </w:r>
            <w:r>
              <w:rPr>
                <w:b w:val="0"/>
                <w:u w:val="single"/>
              </w:rPr>
              <w:t>:</w:t>
            </w:r>
            <w:r>
              <w:rPr>
                <w:b w:val="0"/>
              </w:rPr>
              <w:t xml:space="preserve"> z.B. Heublumen </w:t>
            </w:r>
            <w:r w:rsidRPr="00F844B0">
              <w:rPr>
                <w:b w:val="0"/>
              </w:rPr>
              <w:t>werden als Zusatz zu Teilbädern</w:t>
            </w:r>
            <w:r>
              <w:rPr>
                <w:b w:val="0"/>
              </w:rPr>
              <w:t xml:space="preserve"> oder in Form von Packungen/ Wickeln eingesetzt. Hier kann analog „Steckbrief Packungen/ Wickel etc.“  verfahren werden.</w:t>
            </w:r>
          </w:p>
          <w:p w:rsidR="00CA626D" w:rsidRDefault="00CA626D" w:rsidP="00CA626D">
            <w:pPr>
              <w:spacing w:after="120"/>
              <w:rPr>
                <w:b w:val="0"/>
              </w:rPr>
            </w:pPr>
            <w:r>
              <w:rPr>
                <w:b w:val="0"/>
              </w:rPr>
              <w:t>Kneipp-Waschungen und Bürstungen können analog der pflegerischen Waschung im Sinne der Körper</w:t>
            </w:r>
            <w:r>
              <w:rPr>
                <w:b w:val="0"/>
              </w:rPr>
              <w:softHyphen/>
              <w:t xml:space="preserve">pflege durchgeführt werden. </w:t>
            </w:r>
          </w:p>
          <w:p w:rsidR="00CA626D" w:rsidRDefault="00CA626D" w:rsidP="00CA626D">
            <w:pPr>
              <w:spacing w:after="120"/>
              <w:rPr>
                <w:b w:val="0"/>
              </w:rPr>
            </w:pPr>
            <w:r>
              <w:rPr>
                <w:b w:val="0"/>
              </w:rPr>
              <w:t>Hygienische Aspekte der Kneipp-Bäder (Voll- oder Teilbäder etc.) sind im Steckbrief „</w:t>
            </w:r>
            <w:r w:rsidRPr="00CA626D">
              <w:rPr>
                <w:b w:val="0"/>
                <w:u w:val="single"/>
                <w:shd w:val="clear" w:color="auto" w:fill="0000FF"/>
              </w:rPr>
              <w:t>RS-Wannenbäder</w:t>
            </w:r>
            <w:r>
              <w:rPr>
                <w:b w:val="0"/>
              </w:rPr>
              <w:t>“ m/o Zusatz oder</w:t>
            </w:r>
            <w:r w:rsidRPr="00E7154B">
              <w:rPr>
                <w:b w:val="0"/>
              </w:rPr>
              <w:t xml:space="preserve"> Stangerbad</w:t>
            </w:r>
            <w:r>
              <w:rPr>
                <w:b w:val="0"/>
              </w:rPr>
              <w:t xml:space="preserve"> zusammengefasst. </w:t>
            </w:r>
          </w:p>
          <w:p w:rsidR="00CA626D" w:rsidRPr="00F844B0" w:rsidRDefault="00CA626D" w:rsidP="00CA626D">
            <w:pPr>
              <w:spacing w:after="120"/>
              <w:rPr>
                <w:b w:val="0"/>
                <w:bCs w:val="0"/>
                <w:sz w:val="21"/>
                <w:szCs w:val="21"/>
                <w:u w:val="single"/>
              </w:rPr>
            </w:pPr>
            <w:r>
              <w:rPr>
                <w:b w:val="0"/>
              </w:rPr>
              <w:t>Das Wassertreten ist im Steckbrief „</w:t>
            </w:r>
            <w:r w:rsidRPr="00CA626D">
              <w:rPr>
                <w:b w:val="0"/>
                <w:u w:val="single"/>
                <w:shd w:val="clear" w:color="auto" w:fill="0000FF"/>
              </w:rPr>
              <w:t>RS-Wassertherapie</w:t>
            </w:r>
            <w:r>
              <w:rPr>
                <w:b w:val="0"/>
              </w:rPr>
              <w:t>“ enthalten.</w:t>
            </w:r>
          </w:p>
        </w:tc>
        <w:tc>
          <w:tcPr>
            <w:tcW w:w="4678" w:type="dxa"/>
            <w:tcBorders>
              <w:left w:val="none" w:sz="0" w:space="0" w:color="auto"/>
              <w:bottom w:val="single" w:sz="8" w:space="0" w:color="000000" w:themeColor="text1"/>
            </w:tcBorders>
            <w:shd w:val="clear" w:color="auto" w:fill="FFFFFF" w:themeFill="background1"/>
          </w:tcPr>
          <w:p w:rsidR="00CA626D" w:rsidRDefault="00CA626D" w:rsidP="00CA626D">
            <w:pPr>
              <w:spacing w:after="600"/>
              <w:cnfStyle w:val="000000100000" w:firstRow="0" w:lastRow="0" w:firstColumn="0" w:lastColumn="0" w:oddVBand="0" w:evenVBand="0" w:oddHBand="1" w:evenHBand="0" w:firstRowFirstColumn="0" w:firstRowLastColumn="0" w:lastRowFirstColumn="0" w:lastRowLastColumn="0"/>
            </w:pPr>
            <w:r>
              <w:t>Nach Entkleiden und Verlassen der</w:t>
            </w:r>
            <w:r w:rsidRPr="006E348B">
              <w:t xml:space="preserve"> Umkleide</w:t>
            </w:r>
            <w:r>
              <w:softHyphen/>
            </w:r>
            <w:r w:rsidRPr="006E348B">
              <w:t xml:space="preserve">kabine </w:t>
            </w:r>
            <w:r>
              <w:t>erfolgt die Therapie im Anwendungsraum</w:t>
            </w:r>
            <w:r w:rsidRPr="006E348B">
              <w:t>. Kleidung bleibt in der Kabine. Nach der Anwendung Wiederankleiden und Verlassen der Umkleidekabine durch die Außentür.</w:t>
            </w:r>
          </w:p>
          <w:p w:rsidR="00CA626D" w:rsidRPr="002F50C3" w:rsidRDefault="00CA626D" w:rsidP="00CA626D">
            <w:pPr>
              <w:cnfStyle w:val="000000100000" w:firstRow="0" w:lastRow="0" w:firstColumn="0" w:lastColumn="0" w:oddVBand="0" w:evenVBand="0" w:oddHBand="1" w:evenHBand="0" w:firstRowFirstColumn="0" w:firstRowLastColumn="0" w:lastRowFirstColumn="0" w:lastRowLastColumn="0"/>
              <w:rPr>
                <w:sz w:val="21"/>
                <w:szCs w:val="21"/>
              </w:rPr>
            </w:pPr>
            <w:r w:rsidRPr="00F844B0">
              <w:rPr>
                <w:u w:val="single"/>
              </w:rPr>
              <w:t>Wasser:</w:t>
            </w:r>
            <w:r>
              <w:t xml:space="preserve"> Je nach Art des Gusses werden einzelne Extremitäten oder der gesamte Körper mit einem Wasserstrahl abgespritzt. Während des Gusses kann sich der Patient an Handläufen oder mobilen Gestellen (ich weiß den genauen Ausdruck nicht) festhalten oder ggf. hinsetzen. Teilbäder Arm / Bein erfolgen im Sitzen am teilentkleideten Patienten. </w:t>
            </w:r>
          </w:p>
        </w:tc>
      </w:tr>
      <w:tr w:rsidR="001D0440" w:rsidRPr="003B358B" w:rsidTr="00A44E6E">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CC"/>
          </w:tcPr>
          <w:p w:rsidR="001D0440" w:rsidRPr="002F50C3" w:rsidRDefault="003414BA" w:rsidP="003414BA">
            <w:pPr>
              <w:pStyle w:val="Listenabsatz"/>
              <w:numPr>
                <w:ilvl w:val="0"/>
                <w:numId w:val="12"/>
              </w:numPr>
              <w:ind w:left="426"/>
            </w:pPr>
            <w:r>
              <w:t>Kontaminationen durch</w:t>
            </w:r>
            <w:r w:rsidR="001D0440" w:rsidRPr="002F50C3">
              <w:t xml:space="preserve"> Biostoffen</w:t>
            </w:r>
            <w:r>
              <w:t xml:space="preserve"> </w:t>
            </w:r>
            <w:r w:rsidRPr="002F50C3">
              <w:t>und</w:t>
            </w:r>
            <w:r w:rsidRPr="002F50C3">
              <w:rPr>
                <w:bCs w:val="0"/>
              </w:rPr>
              <w:t xml:space="preserve"> Übertragungswege</w:t>
            </w:r>
            <w:r w:rsidRPr="002F50C3">
              <w:t xml:space="preserve"> </w:t>
            </w:r>
          </w:p>
        </w:tc>
      </w:tr>
      <w:tr w:rsidR="007924E7" w:rsidRPr="003B358B" w:rsidTr="009242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7924E7" w:rsidP="002F50C3">
            <w:pPr>
              <w:pStyle w:val="Listenabsatz"/>
              <w:numPr>
                <w:ilvl w:val="0"/>
                <w:numId w:val="13"/>
              </w:numPr>
              <w:ind w:left="426"/>
              <w:rPr>
                <w:bCs w:val="0"/>
                <w:sz w:val="21"/>
                <w:szCs w:val="21"/>
              </w:rPr>
            </w:pPr>
            <w:r w:rsidRPr="002F50C3">
              <w:rPr>
                <w:sz w:val="21"/>
                <w:szCs w:val="21"/>
              </w:rPr>
              <w:t xml:space="preserve">Welche Art von Biostoffen können </w:t>
            </w:r>
            <w:r w:rsidR="008A18F7">
              <w:rPr>
                <w:sz w:val="21"/>
                <w:szCs w:val="21"/>
              </w:rPr>
              <w:t xml:space="preserve">zusätzlich zu normaler Hautflora/ Schweiß </w:t>
            </w:r>
            <w:r w:rsidRPr="002F50C3">
              <w:rPr>
                <w:sz w:val="21"/>
                <w:szCs w:val="21"/>
              </w:rPr>
              <w:t>übertragen werden?</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CA626D" w:rsidP="002F50C3">
            <w:pPr>
              <w:pStyle w:val="Listenabsatz"/>
              <w:numPr>
                <w:ilvl w:val="0"/>
                <w:numId w:val="14"/>
              </w:numPr>
              <w:ind w:left="709"/>
              <w:rPr>
                <w:sz w:val="21"/>
                <w:szCs w:val="21"/>
              </w:rPr>
            </w:pPr>
            <w:r>
              <w:rPr>
                <w:b w:val="0"/>
                <w:sz w:val="20"/>
                <w:szCs w:val="20"/>
              </w:rPr>
              <w:t>-</w:t>
            </w:r>
          </w:p>
        </w:tc>
      </w:tr>
      <w:tr w:rsidR="001D0440" w:rsidRPr="003B358B" w:rsidTr="009242F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1D0440" w:rsidRPr="002F50C3" w:rsidRDefault="001D0440" w:rsidP="002F50C3">
            <w:pPr>
              <w:pStyle w:val="Listenabsatz"/>
              <w:numPr>
                <w:ilvl w:val="0"/>
                <w:numId w:val="13"/>
              </w:numPr>
              <w:ind w:left="426"/>
              <w:rPr>
                <w:sz w:val="21"/>
                <w:szCs w:val="21"/>
              </w:rPr>
            </w:pPr>
            <w:r w:rsidRPr="002F50C3">
              <w:rPr>
                <w:sz w:val="21"/>
                <w:szCs w:val="21"/>
              </w:rPr>
              <w:t xml:space="preserve">Wo ist </w:t>
            </w:r>
            <w:r w:rsidR="008A18F7">
              <w:rPr>
                <w:sz w:val="21"/>
                <w:szCs w:val="21"/>
              </w:rPr>
              <w:t xml:space="preserve">anwendungsspezifisch </w:t>
            </w:r>
            <w:r w:rsidRPr="002F50C3">
              <w:rPr>
                <w:sz w:val="21"/>
                <w:szCs w:val="21"/>
              </w:rPr>
              <w:t xml:space="preserve">mit </w:t>
            </w:r>
            <w:r w:rsidR="008A18F7">
              <w:rPr>
                <w:sz w:val="21"/>
                <w:szCs w:val="21"/>
              </w:rPr>
              <w:t xml:space="preserve">zusätzlicher </w:t>
            </w:r>
            <w:r w:rsidRPr="002F50C3">
              <w:rPr>
                <w:sz w:val="21"/>
                <w:szCs w:val="21"/>
              </w:rPr>
              <w:t>Kontaminationen von Biostoffen zu rechnen?</w:t>
            </w:r>
          </w:p>
        </w:tc>
        <w:tc>
          <w:tcPr>
            <w:tcW w:w="4678" w:type="dxa"/>
            <w:tcBorders>
              <w:left w:val="none" w:sz="0" w:space="0" w:color="auto"/>
            </w:tcBorders>
            <w:shd w:val="clear" w:color="auto" w:fill="FFFFFF" w:themeFill="background1"/>
          </w:tcPr>
          <w:p w:rsidR="001D0440" w:rsidRPr="002F50C3" w:rsidRDefault="001D0440" w:rsidP="002F50C3">
            <w:pPr>
              <w:pStyle w:val="Listenabsatz"/>
              <w:numPr>
                <w:ilvl w:val="0"/>
                <w:numId w:val="13"/>
              </w:numPr>
              <w:ind w:left="459"/>
              <w:cnfStyle w:val="000000100000" w:firstRow="0" w:lastRow="0" w:firstColumn="0" w:lastColumn="0" w:oddVBand="0" w:evenVBand="0" w:oddHBand="1" w:evenHBand="0" w:firstRowFirstColumn="0" w:firstRowLastColumn="0" w:lastRowFirstColumn="0" w:lastRowLastColumn="0"/>
              <w:rPr>
                <w:b/>
                <w:bCs/>
                <w:sz w:val="21"/>
                <w:szCs w:val="21"/>
              </w:rPr>
            </w:pPr>
            <w:r w:rsidRPr="002F50C3">
              <w:rPr>
                <w:b/>
                <w:bCs/>
                <w:sz w:val="21"/>
                <w:szCs w:val="21"/>
              </w:rPr>
              <w:t xml:space="preserve">Wo sind mögliche </w:t>
            </w:r>
            <w:r w:rsidR="008A18F7">
              <w:rPr>
                <w:b/>
                <w:bCs/>
                <w:sz w:val="21"/>
                <w:szCs w:val="21"/>
              </w:rPr>
              <w:t xml:space="preserve">anwendungsspezifische </w:t>
            </w:r>
            <w:r w:rsidRPr="002F50C3">
              <w:rPr>
                <w:b/>
                <w:bCs/>
                <w:sz w:val="21"/>
                <w:szCs w:val="21"/>
              </w:rPr>
              <w:t>Übertragungswege für Biostoffe?</w:t>
            </w:r>
          </w:p>
        </w:tc>
      </w:tr>
      <w:tr w:rsidR="00CA626D"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A626D" w:rsidRPr="00E34FB5" w:rsidRDefault="00CA626D" w:rsidP="00CA626D">
            <w:pPr>
              <w:pStyle w:val="Listenabsatz"/>
              <w:numPr>
                <w:ilvl w:val="0"/>
                <w:numId w:val="5"/>
              </w:numPr>
              <w:rPr>
                <w:b w:val="0"/>
              </w:rPr>
            </w:pPr>
            <w:r>
              <w:rPr>
                <w:b w:val="0"/>
                <w:bCs w:val="0"/>
              </w:rPr>
              <w:t>Umgebung der Umkleidekabine</w:t>
            </w:r>
            <w:r>
              <w:rPr>
                <w:bCs w:val="0"/>
              </w:rPr>
              <w:t xml:space="preserve"> </w:t>
            </w:r>
            <w:r>
              <w:rPr>
                <w:b w:val="0"/>
                <w:bCs w:val="0"/>
              </w:rPr>
              <w:t>bzw. des Umkleidebereichs</w:t>
            </w:r>
          </w:p>
        </w:tc>
        <w:tc>
          <w:tcPr>
            <w:tcW w:w="4678" w:type="dxa"/>
            <w:tcBorders>
              <w:left w:val="none" w:sz="0" w:space="0" w:color="auto"/>
            </w:tcBorders>
            <w:shd w:val="clear" w:color="auto" w:fill="FFFFFF" w:themeFill="background1"/>
          </w:tcPr>
          <w:p w:rsidR="00CA626D" w:rsidRPr="003B358B" w:rsidRDefault="00CA626D" w:rsidP="00CA626D">
            <w:pPr>
              <w:pStyle w:val="Listenabsatz"/>
              <w:numPr>
                <w:ilvl w:val="0"/>
                <w:numId w:val="5"/>
              </w:numPr>
              <w:cnfStyle w:val="000000010000" w:firstRow="0" w:lastRow="0" w:firstColumn="0" w:lastColumn="0" w:oddVBand="0" w:evenVBand="0" w:oddHBand="0" w:evenHBand="1" w:firstRowFirstColumn="0" w:firstRowLastColumn="0" w:lastRowFirstColumn="0" w:lastRowLastColumn="0"/>
            </w:pPr>
            <w:r>
              <w:t>Durch das Umziehen und Ablegen der Kleidung</w:t>
            </w:r>
          </w:p>
        </w:tc>
      </w:tr>
      <w:tr w:rsidR="00CA626D" w:rsidRPr="003B358B" w:rsidTr="00BF4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bottom w:val="single" w:sz="8" w:space="0" w:color="000000" w:themeColor="text1"/>
              <w:right w:val="none" w:sz="0" w:space="0" w:color="auto"/>
            </w:tcBorders>
            <w:shd w:val="clear" w:color="auto" w:fill="FFFFFF" w:themeFill="background1"/>
          </w:tcPr>
          <w:p w:rsidR="00CA626D" w:rsidRPr="002F50C3" w:rsidRDefault="00CA626D" w:rsidP="00CA626D">
            <w:pPr>
              <w:pStyle w:val="Listenabsatz"/>
              <w:numPr>
                <w:ilvl w:val="0"/>
                <w:numId w:val="5"/>
              </w:numPr>
              <w:rPr>
                <w:sz w:val="21"/>
                <w:szCs w:val="21"/>
              </w:rPr>
            </w:pPr>
            <w:r>
              <w:rPr>
                <w:b w:val="0"/>
                <w:sz w:val="21"/>
                <w:szCs w:val="21"/>
              </w:rPr>
              <w:t>Haltegriffe, Hocker und Lagergestell für die Arme, Wannen</w:t>
            </w:r>
            <w:r w:rsidRPr="002F50C3">
              <w:rPr>
                <w:b w:val="0"/>
                <w:sz w:val="21"/>
                <w:szCs w:val="21"/>
              </w:rPr>
              <w:t xml:space="preserve"> </w:t>
            </w:r>
          </w:p>
        </w:tc>
        <w:tc>
          <w:tcPr>
            <w:tcW w:w="4678" w:type="dxa"/>
            <w:tcBorders>
              <w:left w:val="none" w:sz="0" w:space="0" w:color="auto"/>
              <w:bottom w:val="single" w:sz="8" w:space="0" w:color="000000" w:themeColor="text1"/>
            </w:tcBorders>
            <w:shd w:val="clear" w:color="auto" w:fill="FFFFFF" w:themeFill="background1"/>
          </w:tcPr>
          <w:p w:rsidR="00CA626D" w:rsidRPr="002F50C3" w:rsidRDefault="00CA626D" w:rsidP="00CA626D">
            <w:pPr>
              <w:pStyle w:val="Listenabsatz"/>
              <w:numPr>
                <w:ilvl w:val="0"/>
                <w:numId w:val="5"/>
              </w:numPr>
              <w:cnfStyle w:val="000000100000" w:firstRow="0" w:lastRow="0" w:firstColumn="0" w:lastColumn="0" w:oddVBand="0" w:evenVBand="0" w:oddHBand="1" w:evenHBand="0" w:firstRowFirstColumn="0" w:firstRowLastColumn="0" w:lastRowFirstColumn="0" w:lastRowLastColumn="0"/>
              <w:rPr>
                <w:sz w:val="21"/>
                <w:szCs w:val="21"/>
              </w:rPr>
            </w:pPr>
            <w:r>
              <w:t xml:space="preserve">Hautkontakt des Rehabilitanden </w:t>
            </w:r>
          </w:p>
        </w:tc>
      </w:tr>
      <w:tr w:rsidR="00BF4EFF" w:rsidRPr="003B358B" w:rsidTr="00BF4EF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single" w:sz="8" w:space="0" w:color="000000" w:themeColor="text1"/>
            </w:tcBorders>
            <w:shd w:val="clear" w:color="auto" w:fill="FFFFFF" w:themeFill="background1"/>
          </w:tcPr>
          <w:p w:rsidR="00BF4EFF" w:rsidRPr="00BF4EFF" w:rsidRDefault="00BF4EFF" w:rsidP="00CA626D">
            <w:pPr>
              <w:pStyle w:val="Listenabsatz"/>
              <w:numPr>
                <w:ilvl w:val="0"/>
                <w:numId w:val="5"/>
              </w:numPr>
              <w:rPr>
                <w:b w:val="0"/>
                <w:sz w:val="21"/>
                <w:szCs w:val="21"/>
              </w:rPr>
            </w:pPr>
            <w:r w:rsidRPr="00BF4EFF">
              <w:rPr>
                <w:b w:val="0"/>
                <w:color w:val="000000" w:themeColor="text1"/>
                <w:sz w:val="21"/>
                <w:szCs w:val="21"/>
              </w:rPr>
              <w:t>Bürsten im R</w:t>
            </w:r>
            <w:r>
              <w:rPr>
                <w:b w:val="0"/>
                <w:color w:val="000000" w:themeColor="text1"/>
                <w:sz w:val="21"/>
                <w:szCs w:val="21"/>
              </w:rPr>
              <w:t>ah</w:t>
            </w:r>
            <w:r w:rsidRPr="00BF4EFF">
              <w:rPr>
                <w:b w:val="0"/>
                <w:color w:val="000000" w:themeColor="text1"/>
                <w:sz w:val="21"/>
                <w:szCs w:val="21"/>
              </w:rPr>
              <w:t>m</w:t>
            </w:r>
            <w:r>
              <w:rPr>
                <w:b w:val="0"/>
                <w:color w:val="000000" w:themeColor="text1"/>
                <w:sz w:val="21"/>
                <w:szCs w:val="21"/>
              </w:rPr>
              <w:t>e</w:t>
            </w:r>
            <w:r w:rsidRPr="00BF4EFF">
              <w:rPr>
                <w:b w:val="0"/>
                <w:color w:val="000000" w:themeColor="text1"/>
                <w:sz w:val="21"/>
                <w:szCs w:val="21"/>
              </w:rPr>
              <w:t>n der Bürstungen</w:t>
            </w:r>
          </w:p>
        </w:tc>
        <w:tc>
          <w:tcPr>
            <w:tcW w:w="4678" w:type="dxa"/>
            <w:tcBorders>
              <w:left w:val="single" w:sz="8" w:space="0" w:color="000000" w:themeColor="text1"/>
            </w:tcBorders>
            <w:shd w:val="clear" w:color="auto" w:fill="FFFFFF" w:themeFill="background1"/>
          </w:tcPr>
          <w:p w:rsidR="00BF4EFF" w:rsidRDefault="00BF4EFF" w:rsidP="00CA626D">
            <w:pPr>
              <w:pStyle w:val="Listenabsatz"/>
              <w:numPr>
                <w:ilvl w:val="0"/>
                <w:numId w:val="5"/>
              </w:numPr>
              <w:cnfStyle w:val="000000010000" w:firstRow="0" w:lastRow="0" w:firstColumn="0" w:lastColumn="0" w:oddVBand="0" w:evenVBand="0" w:oddHBand="0" w:evenHBand="1" w:firstRowFirstColumn="0" w:firstRowLastColumn="0" w:lastRowFirstColumn="0" w:lastRowLastColumn="0"/>
            </w:pPr>
            <w:r>
              <w:t>Hautkontakt des Rehabilitanden</w:t>
            </w:r>
          </w:p>
        </w:tc>
      </w:tr>
      <w:tr w:rsidR="00CA626D" w:rsidRPr="003B358B" w:rsidTr="00A44E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CC"/>
          </w:tcPr>
          <w:p w:rsidR="00CA626D" w:rsidRDefault="00CA626D" w:rsidP="00CA626D">
            <w:pPr>
              <w:pStyle w:val="Listenabsatz"/>
              <w:numPr>
                <w:ilvl w:val="0"/>
                <w:numId w:val="12"/>
              </w:numPr>
              <w:ind w:left="426"/>
            </w:pPr>
            <w:r>
              <w:t xml:space="preserve">Anwendungsspezifische Maßnahmen der </w:t>
            </w:r>
            <w:r w:rsidRPr="003414BA">
              <w:rPr>
                <w:u w:val="single"/>
              </w:rPr>
              <w:t>Basishygiene</w:t>
            </w:r>
            <w:r>
              <w:t xml:space="preserve"> um Übertragungen von Biostoffen zu verhindern</w:t>
            </w:r>
          </w:p>
        </w:tc>
      </w:tr>
      <w:tr w:rsidR="00CA626D" w:rsidRPr="003B358B" w:rsidTr="00BF4EFF">
        <w:trPr>
          <w:cnfStyle w:val="000000010000" w:firstRow="0" w:lastRow="0" w:firstColumn="0" w:lastColumn="0" w:oddVBand="0" w:evenVBand="0" w:oddHBand="0" w:evenHBand="1" w:firstRowFirstColumn="0" w:firstRowLastColumn="0" w:lastRowFirstColumn="0" w:lastRowLastColumn="0"/>
          <w:trHeight w:val="893"/>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CA626D" w:rsidRPr="0036696D" w:rsidRDefault="00CA626D" w:rsidP="00CA626D">
            <w:pPr>
              <w:pStyle w:val="Listenabsatz"/>
              <w:numPr>
                <w:ilvl w:val="0"/>
                <w:numId w:val="6"/>
              </w:numPr>
              <w:rPr>
                <w:rFonts w:eastAsiaTheme="majorEastAsia" w:cstheme="majorBidi"/>
                <w:color w:val="000000" w:themeColor="text1"/>
              </w:rPr>
            </w:pPr>
            <w:r>
              <w:rPr>
                <w:b w:val="0"/>
              </w:rPr>
              <w:t xml:space="preserve">Reinigung und Desinfektion der Rehabilitanden-nahen Umgebung, z.B. Handläufe; Halterungen für besondere Güsse; </w:t>
            </w:r>
            <w:r w:rsidRPr="00FB64B0">
              <w:rPr>
                <w:b w:val="0"/>
              </w:rPr>
              <w:t>Wannen</w:t>
            </w:r>
            <w:r>
              <w:rPr>
                <w:b w:val="0"/>
              </w:rPr>
              <w:t xml:space="preserve"> gemäß der Indikationsliste zur Flächendesinfektion</w:t>
            </w:r>
          </w:p>
          <w:p w:rsidR="00CA626D" w:rsidRPr="00BF4EFF" w:rsidRDefault="00CA626D" w:rsidP="00CA626D">
            <w:pPr>
              <w:pStyle w:val="Listenabsatz"/>
              <w:numPr>
                <w:ilvl w:val="0"/>
                <w:numId w:val="6"/>
              </w:numPr>
              <w:rPr>
                <w:rFonts w:eastAsiaTheme="majorEastAsia" w:cstheme="majorBidi"/>
                <w:color w:val="000000" w:themeColor="text1"/>
              </w:rPr>
            </w:pPr>
            <w:r>
              <w:rPr>
                <w:b w:val="0"/>
              </w:rPr>
              <w:t>Reinigung der Bodenbeläge/Tragen von Badelatschen</w:t>
            </w:r>
          </w:p>
          <w:p w:rsidR="00BF4EFF" w:rsidRPr="003B358B" w:rsidRDefault="00BF4EFF" w:rsidP="00CA626D">
            <w:pPr>
              <w:pStyle w:val="Listenabsatz"/>
              <w:numPr>
                <w:ilvl w:val="0"/>
                <w:numId w:val="6"/>
              </w:numPr>
              <w:rPr>
                <w:rFonts w:eastAsiaTheme="majorEastAsia" w:cstheme="majorBidi"/>
                <w:color w:val="000000" w:themeColor="text1"/>
              </w:rPr>
            </w:pPr>
            <w:r>
              <w:rPr>
                <w:b w:val="0"/>
              </w:rPr>
              <w:t>Desinfizierende Aufbereitung der Bürsten nach Anwendung</w:t>
            </w:r>
            <w:bookmarkStart w:id="0" w:name="_GoBack"/>
            <w:bookmarkEnd w:id="0"/>
          </w:p>
        </w:tc>
      </w:tr>
    </w:tbl>
    <w:p w:rsidR="008E3E5B" w:rsidRDefault="008E3E5B">
      <w:r>
        <w:rPr>
          <w:b/>
          <w:bCs/>
        </w:rPr>
        <w:br w:type="page"/>
      </w:r>
    </w:p>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9639"/>
      </w:tblGrid>
      <w:tr w:rsidR="008E3E5B" w:rsidRPr="008E3E5B" w:rsidTr="008E3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Pr>
          <w:p w:rsidR="00D73EB5" w:rsidRPr="008E3E5B" w:rsidRDefault="00D73EB5" w:rsidP="008A18F7">
            <w:pPr>
              <w:pStyle w:val="Listenabsatz"/>
              <w:numPr>
                <w:ilvl w:val="0"/>
                <w:numId w:val="12"/>
              </w:numPr>
              <w:ind w:left="426"/>
              <w:rPr>
                <w:color w:val="000000" w:themeColor="text1"/>
              </w:rPr>
            </w:pPr>
            <w:r w:rsidRPr="008E3E5B">
              <w:rPr>
                <w:color w:val="000000" w:themeColor="text1"/>
              </w:rPr>
              <w:lastRenderedPageBreak/>
              <w:t>Ergänzende und abweichende Vorgehensweisen bei MRE-Besiedlung (</w:t>
            </w:r>
            <w:r w:rsidRPr="008E3E5B">
              <w:rPr>
                <w:color w:val="000000" w:themeColor="text1"/>
                <w:u w:val="single"/>
              </w:rPr>
              <w:t>Interventionsmaßnahmen</w:t>
            </w:r>
            <w:r w:rsidRPr="008E3E5B">
              <w:rPr>
                <w:color w:val="000000" w:themeColor="text1"/>
              </w:rPr>
              <w:t>)</w:t>
            </w:r>
          </w:p>
        </w:tc>
      </w:tr>
      <w:tr w:rsidR="00966C55" w:rsidRPr="003B358B" w:rsidTr="008E3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bottom w:val="single" w:sz="8" w:space="0" w:color="000000" w:themeColor="text1"/>
            </w:tcBorders>
            <w:shd w:val="clear" w:color="auto" w:fill="FFFFFF" w:themeFill="background1"/>
          </w:tcPr>
          <w:p w:rsidR="00D71B99" w:rsidRPr="009D3437" w:rsidRDefault="00CA626D" w:rsidP="008E3E5B">
            <w:pPr>
              <w:pStyle w:val="Listenabsatz"/>
              <w:numPr>
                <w:ilvl w:val="0"/>
                <w:numId w:val="11"/>
              </w:numPr>
              <w:ind w:left="709"/>
              <w:rPr>
                <w:sz w:val="20"/>
                <w:szCs w:val="20"/>
              </w:rPr>
            </w:pPr>
            <w:r>
              <w:rPr>
                <w:rFonts w:eastAsiaTheme="majorEastAsia" w:cstheme="majorBidi"/>
                <w:b w:val="0"/>
              </w:rPr>
              <w:t>Der Rehabilitand kommt im Bademantel in die Bäderabteilung</w:t>
            </w:r>
          </w:p>
        </w:tc>
      </w:tr>
      <w:tr w:rsidR="00D73EB5" w:rsidRPr="003B358B" w:rsidTr="00A44E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shd w:val="clear" w:color="auto" w:fill="FFFFCC"/>
          </w:tcPr>
          <w:p w:rsidR="00D73EB5" w:rsidRPr="003B358B" w:rsidRDefault="00D73EB5" w:rsidP="002F50C3">
            <w:pPr>
              <w:pStyle w:val="Listenabsatz"/>
              <w:numPr>
                <w:ilvl w:val="0"/>
                <w:numId w:val="12"/>
              </w:numPr>
              <w:ind w:left="426"/>
            </w:pPr>
            <w:r w:rsidRPr="003B358B">
              <w:t>Gesonderte Situationen</w:t>
            </w:r>
            <w:r w:rsidR="002F50C3">
              <w:t xml:space="preserve"> und Ergänzendes</w:t>
            </w:r>
          </w:p>
        </w:tc>
      </w:tr>
      <w:tr w:rsidR="00D73EB5"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bottom w:val="single" w:sz="8" w:space="0" w:color="000000" w:themeColor="text1"/>
            </w:tcBorders>
            <w:shd w:val="clear" w:color="auto" w:fill="FFFFFF" w:themeFill="background1"/>
          </w:tcPr>
          <w:p w:rsidR="002F50C3" w:rsidRPr="007D5AB6" w:rsidRDefault="008E3E5B" w:rsidP="009242F4">
            <w:pPr>
              <w:pStyle w:val="Listenabsatz"/>
              <w:numPr>
                <w:ilvl w:val="0"/>
                <w:numId w:val="10"/>
              </w:numPr>
              <w:rPr>
                <w:b w:val="0"/>
              </w:rPr>
            </w:pPr>
            <w:r w:rsidRPr="0069583C">
              <w:rPr>
                <w:b w:val="0"/>
                <w:sz w:val="20"/>
                <w:szCs w:val="20"/>
              </w:rPr>
              <w:t>In vielen Einrichtungen sind klinikeigene Hilfsmittel wie Rollatoren, Gehwagen, Rollstühle etc. vorhanden, die an Patienten für die Dauer des Aufenthaltes personenbezogen verliehen und nach Rückgabe desinfizierend aufbereitet werden</w:t>
            </w:r>
          </w:p>
        </w:tc>
      </w:tr>
      <w:tr w:rsidR="00966C55" w:rsidRPr="003B358B" w:rsidTr="00A44E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Pr>
          <w:p w:rsidR="00966C55" w:rsidRDefault="009242F4" w:rsidP="00966C55">
            <w:pPr>
              <w:pStyle w:val="Listenabsatz"/>
              <w:numPr>
                <w:ilvl w:val="0"/>
                <w:numId w:val="12"/>
              </w:numPr>
              <w:ind w:left="426"/>
            </w:pPr>
            <w:r>
              <w:br w:type="page"/>
            </w:r>
            <w:r w:rsidR="00966C55" w:rsidRPr="009242F4">
              <w:rPr>
                <w:color w:val="000000" w:themeColor="text1"/>
              </w:rPr>
              <w:t>Quellen</w:t>
            </w:r>
          </w:p>
        </w:tc>
      </w:tr>
      <w:tr w:rsidR="00966C55" w:rsidRPr="003B358B" w:rsidTr="009573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tcBorders>
            <w:shd w:val="clear" w:color="auto" w:fill="FFFFFF" w:themeFill="background1"/>
          </w:tcPr>
          <w:p w:rsidR="00966C55" w:rsidRDefault="00CA626D" w:rsidP="006E1805">
            <w:pPr>
              <w:pStyle w:val="Listenabsatz"/>
              <w:numPr>
                <w:ilvl w:val="0"/>
                <w:numId w:val="10"/>
              </w:numPr>
            </w:pPr>
            <w:r>
              <w:t>-</w:t>
            </w:r>
          </w:p>
        </w:tc>
      </w:tr>
    </w:tbl>
    <w:p w:rsidR="00BD2737" w:rsidRDefault="00BD2737"/>
    <w:sectPr w:rsidR="00BD2737" w:rsidSect="008B6B26">
      <w:headerReference w:type="default" r:id="rId7"/>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1C" w:rsidRDefault="00A7761C" w:rsidP="00A7761C">
      <w:pPr>
        <w:spacing w:after="0" w:line="240" w:lineRule="auto"/>
      </w:pPr>
      <w:r>
        <w:separator/>
      </w:r>
    </w:p>
  </w:endnote>
  <w:endnote w:type="continuationSeparator" w:id="0">
    <w:p w:rsidR="00A7761C" w:rsidRDefault="00A7761C" w:rsidP="00A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1C" w:rsidRDefault="00A7761C" w:rsidP="00A7761C">
      <w:pPr>
        <w:spacing w:after="0" w:line="240" w:lineRule="auto"/>
      </w:pPr>
      <w:r>
        <w:separator/>
      </w:r>
    </w:p>
  </w:footnote>
  <w:footnote w:type="continuationSeparator" w:id="0">
    <w:p w:rsidR="00A7761C" w:rsidRDefault="00A7761C" w:rsidP="00A7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61C" w:rsidRDefault="00A7761C" w:rsidP="00A7761C">
    <w:pPr>
      <w:pStyle w:val="Kopfzeile"/>
    </w:pPr>
  </w:p>
  <w:tbl>
    <w:tblPr>
      <w:tblStyle w:val="Tabellenraster"/>
      <w:tblW w:w="9893" w:type="dxa"/>
      <w:tblLook w:val="04A0" w:firstRow="1" w:lastRow="0" w:firstColumn="1" w:lastColumn="0" w:noHBand="0" w:noVBand="1"/>
    </w:tblPr>
    <w:tblGrid>
      <w:gridCol w:w="1364"/>
      <w:gridCol w:w="1721"/>
      <w:gridCol w:w="5245"/>
      <w:gridCol w:w="1563"/>
    </w:tblGrid>
    <w:tr w:rsidR="00A7761C" w:rsidTr="002F7E7B">
      <w:tc>
        <w:tcPr>
          <w:tcW w:w="1364" w:type="dxa"/>
          <w:tcBorders>
            <w:top w:val="nil"/>
            <w:left w:val="nil"/>
            <w:bottom w:val="nil"/>
            <w:right w:val="single" w:sz="4" w:space="0" w:color="auto"/>
          </w:tcBorders>
        </w:tcPr>
        <w:p w:rsidR="00A7761C" w:rsidRDefault="00A7761C" w:rsidP="00A7761C">
          <w:pPr>
            <w:pStyle w:val="Kopfzeile"/>
          </w:pPr>
          <w:r w:rsidRPr="00761B44">
            <w:t xml:space="preserve"> </w:t>
          </w:r>
          <w:r>
            <w:rPr>
              <w:noProof/>
              <w:lang w:eastAsia="de-DE"/>
            </w:rPr>
            <w:drawing>
              <wp:inline distT="0" distB="0" distL="0" distR="0" wp14:anchorId="0F552957" wp14:editId="511FB616">
                <wp:extent cx="612000" cy="61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p>
      </w:tc>
      <w:tc>
        <w:tcPr>
          <w:tcW w:w="1721" w:type="dxa"/>
          <w:tcBorders>
            <w:left w:val="single" w:sz="4" w:space="0" w:color="auto"/>
          </w:tcBorders>
        </w:tcPr>
        <w:p w:rsidR="00A7761C" w:rsidRPr="007D6302" w:rsidRDefault="00A7761C" w:rsidP="00A7761C">
          <w:pPr>
            <w:pStyle w:val="Kopfzeile"/>
            <w:spacing w:before="240"/>
            <w:rPr>
              <w:sz w:val="24"/>
              <w:szCs w:val="24"/>
            </w:rPr>
          </w:pPr>
        </w:p>
      </w:tc>
      <w:tc>
        <w:tcPr>
          <w:tcW w:w="5245" w:type="dxa"/>
          <w:tcBorders>
            <w:left w:val="single" w:sz="4" w:space="0" w:color="auto"/>
          </w:tcBorders>
        </w:tcPr>
        <w:p w:rsidR="00A7761C" w:rsidRPr="007D6302" w:rsidRDefault="00A7761C" w:rsidP="00A44E6E">
          <w:pPr>
            <w:pStyle w:val="Kopfzeile"/>
            <w:spacing w:before="240"/>
            <w:jc w:val="center"/>
            <w:rPr>
              <w:sz w:val="24"/>
              <w:szCs w:val="24"/>
            </w:rPr>
          </w:pPr>
          <w:r>
            <w:rPr>
              <w:sz w:val="24"/>
              <w:szCs w:val="24"/>
            </w:rPr>
            <w:t>Reha-Steckbrief</w:t>
          </w:r>
          <w:r>
            <w:rPr>
              <w:sz w:val="24"/>
              <w:szCs w:val="24"/>
            </w:rPr>
            <w:br/>
          </w:r>
          <w:r w:rsidR="00810149">
            <w:rPr>
              <w:sz w:val="24"/>
              <w:szCs w:val="24"/>
            </w:rPr>
            <w:t>Kneipp-Anwendungen</w:t>
          </w:r>
        </w:p>
      </w:tc>
      <w:tc>
        <w:tcPr>
          <w:tcW w:w="1563" w:type="dxa"/>
        </w:tcPr>
        <w:p w:rsidR="00A7761C" w:rsidRDefault="00A7761C" w:rsidP="00A7761C">
          <w:pPr>
            <w:pStyle w:val="Kopfzeile"/>
            <w:spacing w:before="240"/>
            <w:jc w:val="center"/>
          </w:pPr>
          <w:r>
            <w:t xml:space="preserve">Seite </w:t>
          </w:r>
          <w:r>
            <w:fldChar w:fldCharType="begin"/>
          </w:r>
          <w:r>
            <w:instrText>PAGE   \* MERGEFORMAT</w:instrText>
          </w:r>
          <w:r>
            <w:fldChar w:fldCharType="separate"/>
          </w:r>
          <w:r w:rsidR="00BF4EFF">
            <w:rPr>
              <w:noProof/>
            </w:rPr>
            <w:t>1</w:t>
          </w:r>
          <w:r>
            <w:fldChar w:fldCharType="end"/>
          </w:r>
          <w:r>
            <w:t xml:space="preserve"> / </w:t>
          </w:r>
          <w:r w:rsidR="00BF4EFF">
            <w:fldChar w:fldCharType="begin"/>
          </w:r>
          <w:r w:rsidR="00BF4EFF">
            <w:instrText xml:space="preserve"> NUMPAGES  \* Arabic  \* MERGEFORMAT </w:instrText>
          </w:r>
          <w:r w:rsidR="00BF4EFF">
            <w:fldChar w:fldCharType="separate"/>
          </w:r>
          <w:r w:rsidR="00BF4EFF">
            <w:rPr>
              <w:noProof/>
            </w:rPr>
            <w:t>2</w:t>
          </w:r>
          <w:r w:rsidR="00BF4EFF">
            <w:rPr>
              <w:noProof/>
            </w:rPr>
            <w:fldChar w:fldCharType="end"/>
          </w:r>
        </w:p>
      </w:tc>
    </w:tr>
  </w:tbl>
  <w:p w:rsidR="00A7761C" w:rsidRDefault="00A77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AA5"/>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1F6C43"/>
    <w:multiLevelType w:val="hybridMultilevel"/>
    <w:tmpl w:val="07D00700"/>
    <w:lvl w:ilvl="0" w:tplc="0896D5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6D2D77"/>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0E4A66"/>
    <w:multiLevelType w:val="hybridMultilevel"/>
    <w:tmpl w:val="21066642"/>
    <w:lvl w:ilvl="0" w:tplc="55F05908">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C249CB"/>
    <w:multiLevelType w:val="hybridMultilevel"/>
    <w:tmpl w:val="66DC6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1B2709"/>
    <w:multiLevelType w:val="hybridMultilevel"/>
    <w:tmpl w:val="DE6688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B284F"/>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55171870"/>
    <w:multiLevelType w:val="hybridMultilevel"/>
    <w:tmpl w:val="7390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E03D89"/>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5A3741F4"/>
    <w:multiLevelType w:val="hybridMultilevel"/>
    <w:tmpl w:val="2F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9E6821"/>
    <w:multiLevelType w:val="hybridMultilevel"/>
    <w:tmpl w:val="F0B28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175A37"/>
    <w:multiLevelType w:val="hybridMultilevel"/>
    <w:tmpl w:val="632856E6"/>
    <w:lvl w:ilvl="0" w:tplc="8F762A90">
      <w:start w:val="1"/>
      <w:numFmt w:val="decimal"/>
      <w:lvlText w:val="%1)"/>
      <w:lvlJc w:val="left"/>
      <w:pPr>
        <w:ind w:left="720" w:hanging="360"/>
      </w:pPr>
      <w:rPr>
        <w:rFonts w:asciiTheme="majorHAnsi" w:eastAsiaTheme="majorEastAsia" w:hAnsiTheme="majorHAnsi" w:cstheme="maj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49262F"/>
    <w:multiLevelType w:val="hybridMultilevel"/>
    <w:tmpl w:val="42B6980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73FC49F7"/>
    <w:multiLevelType w:val="hybridMultilevel"/>
    <w:tmpl w:val="990A8EE6"/>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4" w15:restartNumberingAfterBreak="0">
    <w:nsid w:val="75FA5AB3"/>
    <w:multiLevelType w:val="hybridMultilevel"/>
    <w:tmpl w:val="B0CAB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D2667D"/>
    <w:multiLevelType w:val="hybridMultilevel"/>
    <w:tmpl w:val="C0C25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833E30"/>
    <w:multiLevelType w:val="hybridMultilevel"/>
    <w:tmpl w:val="F9606BD4"/>
    <w:lvl w:ilvl="0" w:tplc="2A4E7FC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num w:numId="1">
    <w:abstractNumId w:val="2"/>
  </w:num>
  <w:num w:numId="2">
    <w:abstractNumId w:val="5"/>
  </w:num>
  <w:num w:numId="3">
    <w:abstractNumId w:val="0"/>
  </w:num>
  <w:num w:numId="4">
    <w:abstractNumId w:val="14"/>
  </w:num>
  <w:num w:numId="5">
    <w:abstractNumId w:val="4"/>
  </w:num>
  <w:num w:numId="6">
    <w:abstractNumId w:val="10"/>
  </w:num>
  <w:num w:numId="7">
    <w:abstractNumId w:val="11"/>
  </w:num>
  <w:num w:numId="8">
    <w:abstractNumId w:val="7"/>
  </w:num>
  <w:num w:numId="9">
    <w:abstractNumId w:val="1"/>
  </w:num>
  <w:num w:numId="10">
    <w:abstractNumId w:val="9"/>
  </w:num>
  <w:num w:numId="11">
    <w:abstractNumId w:val="12"/>
  </w:num>
  <w:num w:numId="12">
    <w:abstractNumId w:val="3"/>
  </w:num>
  <w:num w:numId="13">
    <w:abstractNumId w:val="8"/>
  </w:num>
  <w:num w:numId="14">
    <w:abstractNumId w:val="13"/>
  </w:num>
  <w:num w:numId="15">
    <w:abstractNumId w:val="16"/>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42"/>
    <w:rsid w:val="00074D1A"/>
    <w:rsid w:val="00091E7B"/>
    <w:rsid w:val="000D0313"/>
    <w:rsid w:val="000E0542"/>
    <w:rsid w:val="001D0440"/>
    <w:rsid w:val="001D2136"/>
    <w:rsid w:val="00207503"/>
    <w:rsid w:val="0021637D"/>
    <w:rsid w:val="002B3F44"/>
    <w:rsid w:val="002F1AE1"/>
    <w:rsid w:val="002F50C3"/>
    <w:rsid w:val="003148E4"/>
    <w:rsid w:val="003169FF"/>
    <w:rsid w:val="003414BA"/>
    <w:rsid w:val="003B358B"/>
    <w:rsid w:val="003C7844"/>
    <w:rsid w:val="00430729"/>
    <w:rsid w:val="00451CD8"/>
    <w:rsid w:val="00471438"/>
    <w:rsid w:val="004876E2"/>
    <w:rsid w:val="0051317A"/>
    <w:rsid w:val="0056149A"/>
    <w:rsid w:val="005A00B3"/>
    <w:rsid w:val="005B0D28"/>
    <w:rsid w:val="00617624"/>
    <w:rsid w:val="00635630"/>
    <w:rsid w:val="00696D8C"/>
    <w:rsid w:val="006C6A45"/>
    <w:rsid w:val="006E1805"/>
    <w:rsid w:val="006E4641"/>
    <w:rsid w:val="00712616"/>
    <w:rsid w:val="007924E7"/>
    <w:rsid w:val="007D5AB6"/>
    <w:rsid w:val="007E6118"/>
    <w:rsid w:val="00810149"/>
    <w:rsid w:val="00833FA9"/>
    <w:rsid w:val="008A18F7"/>
    <w:rsid w:val="008B6131"/>
    <w:rsid w:val="008B6B26"/>
    <w:rsid w:val="008E3E5B"/>
    <w:rsid w:val="008F1F8E"/>
    <w:rsid w:val="009242F4"/>
    <w:rsid w:val="0095731B"/>
    <w:rsid w:val="00966C55"/>
    <w:rsid w:val="009749DA"/>
    <w:rsid w:val="009D3437"/>
    <w:rsid w:val="009E77FF"/>
    <w:rsid w:val="00A44E6E"/>
    <w:rsid w:val="00A7761C"/>
    <w:rsid w:val="00A823F1"/>
    <w:rsid w:val="00B2101D"/>
    <w:rsid w:val="00BD2737"/>
    <w:rsid w:val="00BE0656"/>
    <w:rsid w:val="00BE0ACC"/>
    <w:rsid w:val="00BF4EFF"/>
    <w:rsid w:val="00C14245"/>
    <w:rsid w:val="00C76678"/>
    <w:rsid w:val="00CA626D"/>
    <w:rsid w:val="00CC0681"/>
    <w:rsid w:val="00CC1B82"/>
    <w:rsid w:val="00CE72E7"/>
    <w:rsid w:val="00D67CE7"/>
    <w:rsid w:val="00D71B99"/>
    <w:rsid w:val="00D73EB5"/>
    <w:rsid w:val="00E00A34"/>
    <w:rsid w:val="00E530EA"/>
    <w:rsid w:val="00ED1AC2"/>
    <w:rsid w:val="00EE6D7C"/>
    <w:rsid w:val="00F001B8"/>
    <w:rsid w:val="00F665C4"/>
    <w:rsid w:val="00F976F1"/>
    <w:rsid w:val="00FC7D66"/>
    <w:rsid w:val="00FD205B"/>
    <w:rsid w:val="00FF6F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612A"/>
  <w15:docId w15:val="{C4025C5A-20F2-48BC-B279-311FF481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0542"/>
    <w:pPr>
      <w:ind w:left="720"/>
      <w:contextualSpacing/>
    </w:pPr>
  </w:style>
  <w:style w:type="table" w:styleId="MittleresRaster3-Akzent5">
    <w:name w:val="Medium Grid 3 Accent 5"/>
    <w:basedOn w:val="NormaleTabelle"/>
    <w:uiPriority w:val="69"/>
    <w:rsid w:val="00BD27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Liste2-Akzent5">
    <w:name w:val="Medium List 2 Accent 5"/>
    <w:basedOn w:val="NormaleTabelle"/>
    <w:uiPriority w:val="66"/>
    <w:rsid w:val="00BD27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Akzent3">
    <w:name w:val="Light List Accent 3"/>
    <w:basedOn w:val="NormaleTabelle"/>
    <w:uiPriority w:val="61"/>
    <w:rsid w:val="00BE065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Akzent3">
    <w:name w:val="Medium Shading 1 Accent 3"/>
    <w:basedOn w:val="NormaleTabelle"/>
    <w:uiPriority w:val="63"/>
    <w:rsid w:val="00BE065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A823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3F1"/>
    <w:rPr>
      <w:rFonts w:ascii="Tahoma" w:hAnsi="Tahoma" w:cs="Tahoma"/>
      <w:sz w:val="16"/>
      <w:szCs w:val="16"/>
    </w:rPr>
  </w:style>
  <w:style w:type="paragraph" w:styleId="Kopfzeile">
    <w:name w:val="header"/>
    <w:basedOn w:val="Standard"/>
    <w:link w:val="KopfzeileZchn"/>
    <w:uiPriority w:val="99"/>
    <w:unhideWhenUsed/>
    <w:rsid w:val="00A776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61C"/>
  </w:style>
  <w:style w:type="paragraph" w:styleId="Fuzeile">
    <w:name w:val="footer"/>
    <w:basedOn w:val="Standard"/>
    <w:link w:val="FuzeileZchn"/>
    <w:uiPriority w:val="99"/>
    <w:unhideWhenUsed/>
    <w:rsid w:val="00A776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61C"/>
  </w:style>
  <w:style w:type="character" w:styleId="Hyperlink">
    <w:name w:val="Hyperlink"/>
    <w:basedOn w:val="Absatz-Standardschriftart"/>
    <w:uiPriority w:val="99"/>
    <w:unhideWhenUsed/>
    <w:rsid w:val="00A77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Bergen, Peter</cp:lastModifiedBy>
  <cp:revision>4</cp:revision>
  <dcterms:created xsi:type="dcterms:W3CDTF">2020-01-21T12:03:00Z</dcterms:created>
  <dcterms:modified xsi:type="dcterms:W3CDTF">2020-01-23T09:40:00Z</dcterms:modified>
</cp:coreProperties>
</file>