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ittlereSchattierung1-Akzent3"/>
        <w:tblW w:w="9639" w:type="dxa"/>
        <w:tblInd w:w="25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ayout w:type="fixed"/>
        <w:tblCellMar>
          <w:top w:w="57" w:type="dxa"/>
          <w:bottom w:w="57" w:type="dxa"/>
        </w:tblCellMar>
        <w:tblLook w:val="04A0" w:firstRow="1" w:lastRow="0" w:firstColumn="1" w:lastColumn="0" w:noHBand="0" w:noVBand="1"/>
      </w:tblPr>
      <w:tblGrid>
        <w:gridCol w:w="4961"/>
        <w:gridCol w:w="4678"/>
      </w:tblGrid>
      <w:tr w:rsidR="00D73EB5" w:rsidRPr="003B358B" w:rsidTr="00566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none" w:sz="0" w:space="0" w:color="auto"/>
              <w:left w:val="none" w:sz="0" w:space="0" w:color="auto"/>
              <w:bottom w:val="single" w:sz="8" w:space="0" w:color="000000" w:themeColor="text1"/>
              <w:right w:val="none" w:sz="0" w:space="0" w:color="auto"/>
            </w:tcBorders>
            <w:shd w:val="clear" w:color="auto" w:fill="FF6699"/>
          </w:tcPr>
          <w:p w:rsidR="00D73EB5" w:rsidRPr="00D71B99" w:rsidRDefault="00566397" w:rsidP="0056149A">
            <w:pPr>
              <w:rPr>
                <w:color w:val="FF0000"/>
                <w:sz w:val="24"/>
                <w:szCs w:val="24"/>
              </w:rPr>
            </w:pPr>
            <w:r>
              <w:rPr>
                <w:color w:val="auto"/>
                <w:sz w:val="24"/>
                <w:szCs w:val="24"/>
              </w:rPr>
              <w:t>Lehrküche</w:t>
            </w:r>
          </w:p>
        </w:tc>
      </w:tr>
      <w:tr w:rsidR="007924E7" w:rsidRPr="003B358B"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CCFF"/>
          </w:tcPr>
          <w:p w:rsidR="007924E7" w:rsidRPr="002F50C3" w:rsidRDefault="007924E7" w:rsidP="00617624">
            <w:pPr>
              <w:pStyle w:val="Listenabsatz"/>
              <w:numPr>
                <w:ilvl w:val="0"/>
                <w:numId w:val="12"/>
              </w:numPr>
              <w:ind w:left="426"/>
              <w:rPr>
                <w:bCs w:val="0"/>
              </w:rPr>
            </w:pPr>
            <w:r w:rsidRPr="002F50C3">
              <w:rPr>
                <w:bCs w:val="0"/>
              </w:rPr>
              <w:t>Beschreibung der Anwendung</w:t>
            </w:r>
          </w:p>
        </w:tc>
      </w:tr>
      <w:tr w:rsidR="007924E7"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7924E7" w:rsidRPr="002F50C3" w:rsidRDefault="007924E7" w:rsidP="002F50C3">
            <w:pPr>
              <w:pStyle w:val="Listenabsatz"/>
              <w:numPr>
                <w:ilvl w:val="0"/>
                <w:numId w:val="15"/>
              </w:numPr>
              <w:ind w:left="426"/>
              <w:rPr>
                <w:sz w:val="21"/>
                <w:szCs w:val="21"/>
              </w:rPr>
            </w:pPr>
            <w:r w:rsidRPr="002F50C3">
              <w:rPr>
                <w:sz w:val="21"/>
                <w:szCs w:val="21"/>
              </w:rPr>
              <w:t>Durchführung der Anwendung</w:t>
            </w:r>
          </w:p>
        </w:tc>
        <w:tc>
          <w:tcPr>
            <w:tcW w:w="4678" w:type="dxa"/>
            <w:tcBorders>
              <w:left w:val="none" w:sz="0" w:space="0" w:color="auto"/>
            </w:tcBorders>
            <w:shd w:val="clear" w:color="auto" w:fill="FFFFFF" w:themeFill="background1"/>
          </w:tcPr>
          <w:p w:rsidR="007924E7" w:rsidRPr="002F50C3" w:rsidRDefault="004876E2" w:rsidP="002F50C3">
            <w:pPr>
              <w:pStyle w:val="Listenabsatz"/>
              <w:numPr>
                <w:ilvl w:val="0"/>
                <w:numId w:val="15"/>
              </w:numPr>
              <w:ind w:left="426"/>
              <w:cnfStyle w:val="000000010000" w:firstRow="0" w:lastRow="0" w:firstColumn="0" w:lastColumn="0" w:oddVBand="0" w:evenVBand="0" w:oddHBand="0" w:evenHBand="1" w:firstRowFirstColumn="0" w:firstRowLastColumn="0" w:lastRowFirstColumn="0" w:lastRowLastColumn="0"/>
              <w:rPr>
                <w:b/>
                <w:bCs/>
                <w:sz w:val="21"/>
                <w:szCs w:val="21"/>
              </w:rPr>
            </w:pPr>
            <w:r>
              <w:rPr>
                <w:b/>
                <w:bCs/>
                <w:sz w:val="21"/>
                <w:szCs w:val="21"/>
              </w:rPr>
              <w:t>W</w:t>
            </w:r>
            <w:r w:rsidR="007924E7" w:rsidRPr="002F50C3">
              <w:rPr>
                <w:b/>
                <w:bCs/>
                <w:sz w:val="21"/>
                <w:szCs w:val="21"/>
              </w:rPr>
              <w:t>eg</w:t>
            </w:r>
            <w:r>
              <w:rPr>
                <w:b/>
                <w:bCs/>
                <w:sz w:val="21"/>
                <w:szCs w:val="21"/>
              </w:rPr>
              <w:t xml:space="preserve"> des Rehabilitanden</w:t>
            </w:r>
          </w:p>
        </w:tc>
      </w:tr>
      <w:tr w:rsidR="00566397" w:rsidRPr="003B358B"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bottom w:val="single" w:sz="8" w:space="0" w:color="000000" w:themeColor="text1"/>
              <w:right w:val="none" w:sz="0" w:space="0" w:color="auto"/>
            </w:tcBorders>
            <w:shd w:val="clear" w:color="auto" w:fill="FFFFFF" w:themeFill="background1"/>
          </w:tcPr>
          <w:p w:rsidR="00566397" w:rsidRDefault="00566397" w:rsidP="00566397">
            <w:pPr>
              <w:spacing w:after="120"/>
              <w:rPr>
                <w:b w:val="0"/>
                <w:sz w:val="20"/>
                <w:szCs w:val="20"/>
              </w:rPr>
            </w:pPr>
            <w:r>
              <w:rPr>
                <w:b w:val="0"/>
                <w:sz w:val="20"/>
                <w:szCs w:val="20"/>
              </w:rPr>
              <w:t>Die praktische Umsetzung von Ernährungsschulungen findet in der Lehrküche innerhalb von Kochgruppen statt. Es werden Rezepte/ Speisezubereitungen in ernährungs</w:t>
            </w:r>
            <w:r>
              <w:rPr>
                <w:b w:val="0"/>
                <w:sz w:val="20"/>
                <w:szCs w:val="20"/>
              </w:rPr>
              <w:softHyphen/>
            </w:r>
            <w:r>
              <w:rPr>
                <w:b w:val="0"/>
                <w:sz w:val="20"/>
                <w:szCs w:val="20"/>
              </w:rPr>
              <w:t>medizinisch sinnvollem Kontext besprochen, die Speisen gemeinsam zubereitet und häufig im Anschluss gemein</w:t>
            </w:r>
            <w:r>
              <w:rPr>
                <w:b w:val="0"/>
                <w:sz w:val="20"/>
                <w:szCs w:val="20"/>
              </w:rPr>
              <w:softHyphen/>
            </w:r>
            <w:r>
              <w:rPr>
                <w:b w:val="0"/>
                <w:sz w:val="20"/>
                <w:szCs w:val="20"/>
              </w:rPr>
              <w:t>sam verzehrt.</w:t>
            </w:r>
          </w:p>
          <w:p w:rsidR="00566397" w:rsidRPr="002C6E7A" w:rsidRDefault="00566397" w:rsidP="00566397">
            <w:pPr>
              <w:rPr>
                <w:b w:val="0"/>
                <w:bCs w:val="0"/>
                <w:sz w:val="20"/>
                <w:szCs w:val="20"/>
              </w:rPr>
            </w:pPr>
            <w:r>
              <w:rPr>
                <w:b w:val="0"/>
                <w:sz w:val="20"/>
                <w:szCs w:val="20"/>
              </w:rPr>
              <w:t xml:space="preserve">Da </w:t>
            </w:r>
            <w:r>
              <w:rPr>
                <w:b w:val="0"/>
                <w:sz w:val="20"/>
                <w:szCs w:val="20"/>
              </w:rPr>
              <w:t>das gemeinsame Erleben</w:t>
            </w:r>
            <w:r>
              <w:rPr>
                <w:b w:val="0"/>
                <w:sz w:val="20"/>
                <w:szCs w:val="20"/>
              </w:rPr>
              <w:t xml:space="preserve"> </w:t>
            </w:r>
            <w:r>
              <w:rPr>
                <w:b w:val="0"/>
                <w:sz w:val="20"/>
                <w:szCs w:val="20"/>
              </w:rPr>
              <w:t>ein erheblicher Aspekt dieser Maßnahme</w:t>
            </w:r>
            <w:r>
              <w:rPr>
                <w:b w:val="0"/>
                <w:sz w:val="20"/>
                <w:szCs w:val="20"/>
              </w:rPr>
              <w:t>n</w:t>
            </w:r>
            <w:r>
              <w:rPr>
                <w:b w:val="0"/>
                <w:sz w:val="20"/>
                <w:szCs w:val="20"/>
              </w:rPr>
              <w:t xml:space="preserve"> dar</w:t>
            </w:r>
            <w:r>
              <w:rPr>
                <w:b w:val="0"/>
                <w:sz w:val="20"/>
                <w:szCs w:val="20"/>
              </w:rPr>
              <w:t>stellt, kommen diese Übungen als Einzeltherapie kaum in Frage</w:t>
            </w:r>
            <w:r>
              <w:rPr>
                <w:b w:val="0"/>
                <w:sz w:val="20"/>
                <w:szCs w:val="20"/>
              </w:rPr>
              <w:t>.</w:t>
            </w:r>
          </w:p>
        </w:tc>
        <w:tc>
          <w:tcPr>
            <w:tcW w:w="4678" w:type="dxa"/>
            <w:tcBorders>
              <w:left w:val="none" w:sz="0" w:space="0" w:color="auto"/>
              <w:bottom w:val="single" w:sz="8" w:space="0" w:color="000000" w:themeColor="text1"/>
            </w:tcBorders>
            <w:shd w:val="clear" w:color="auto" w:fill="FFFFFF" w:themeFill="background1"/>
          </w:tcPr>
          <w:p w:rsidR="00566397" w:rsidRPr="002C6E7A" w:rsidRDefault="00566397" w:rsidP="00566397">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Die Rehabilitanden finden sich in der Lehrküche ein, erhalten vom Ernährungstherapeuten Informationen und Arbeitsanweisungen und bereiten Speisen gemeinsam zu. Hierbei lässt es sich kaum vermeiden, dass innerhalb der Gruppe personenübergreifend Kochutensilien verwendet werden.</w:t>
            </w:r>
            <w:r>
              <w:rPr>
                <w:sz w:val="20"/>
                <w:szCs w:val="20"/>
              </w:rPr>
              <w:t xml:space="preserve"> </w:t>
            </w:r>
            <w:r>
              <w:rPr>
                <w:sz w:val="20"/>
                <w:szCs w:val="20"/>
              </w:rPr>
              <w:t>Nach Verzehr der zubereiteten Nahrungsmittel erfolgt häufig ein gemeinsames Aufräumen, bevor die Gruppenteil</w:t>
            </w:r>
            <w:r>
              <w:rPr>
                <w:sz w:val="20"/>
                <w:szCs w:val="20"/>
              </w:rPr>
              <w:softHyphen/>
            </w:r>
            <w:r>
              <w:rPr>
                <w:sz w:val="20"/>
                <w:szCs w:val="20"/>
              </w:rPr>
              <w:t>nehmer die Lehrküche wieder verlassen.</w:t>
            </w:r>
          </w:p>
        </w:tc>
      </w:tr>
      <w:tr w:rsidR="001D0440" w:rsidRPr="003B358B" w:rsidTr="00566397">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CCFF"/>
          </w:tcPr>
          <w:p w:rsidR="001D0440" w:rsidRPr="002F50C3" w:rsidRDefault="003414BA" w:rsidP="003414BA">
            <w:pPr>
              <w:pStyle w:val="Listenabsatz"/>
              <w:numPr>
                <w:ilvl w:val="0"/>
                <w:numId w:val="12"/>
              </w:numPr>
              <w:ind w:left="426"/>
            </w:pPr>
            <w:r>
              <w:t>Kontaminationen durch</w:t>
            </w:r>
            <w:r w:rsidR="001D0440" w:rsidRPr="002F50C3">
              <w:t xml:space="preserve"> Biostoffen</w:t>
            </w:r>
            <w:r>
              <w:t xml:space="preserve"> </w:t>
            </w:r>
            <w:r w:rsidRPr="002F50C3">
              <w:t>und</w:t>
            </w:r>
            <w:r w:rsidRPr="002F50C3">
              <w:rPr>
                <w:bCs w:val="0"/>
              </w:rPr>
              <w:t xml:space="preserve"> Übertragungswege</w:t>
            </w:r>
            <w:r w:rsidRPr="002F50C3">
              <w:t xml:space="preserve"> </w:t>
            </w:r>
          </w:p>
        </w:tc>
      </w:tr>
      <w:tr w:rsidR="007924E7" w:rsidRPr="003B358B" w:rsidTr="009242F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7924E7" w:rsidRPr="002F50C3" w:rsidRDefault="007924E7" w:rsidP="002F50C3">
            <w:pPr>
              <w:pStyle w:val="Listenabsatz"/>
              <w:numPr>
                <w:ilvl w:val="0"/>
                <w:numId w:val="13"/>
              </w:numPr>
              <w:ind w:left="426"/>
              <w:rPr>
                <w:bCs w:val="0"/>
                <w:sz w:val="21"/>
                <w:szCs w:val="21"/>
              </w:rPr>
            </w:pPr>
            <w:r w:rsidRPr="002F50C3">
              <w:rPr>
                <w:sz w:val="21"/>
                <w:szCs w:val="21"/>
              </w:rPr>
              <w:t xml:space="preserve">Welche Art von Biostoffen können </w:t>
            </w:r>
            <w:r w:rsidR="008A18F7">
              <w:rPr>
                <w:sz w:val="21"/>
                <w:szCs w:val="21"/>
              </w:rPr>
              <w:t xml:space="preserve">zusätzlich zu normaler Hautflora/ Schweiß </w:t>
            </w:r>
            <w:r w:rsidRPr="002F50C3">
              <w:rPr>
                <w:sz w:val="21"/>
                <w:szCs w:val="21"/>
              </w:rPr>
              <w:t>übertragen werden?</w:t>
            </w:r>
          </w:p>
        </w:tc>
      </w:tr>
      <w:tr w:rsidR="007924E7" w:rsidRPr="003B358B" w:rsidTr="009242F4">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7924E7" w:rsidRPr="002F50C3" w:rsidRDefault="00566397" w:rsidP="00566397">
            <w:pPr>
              <w:pStyle w:val="Listenabsatz"/>
              <w:numPr>
                <w:ilvl w:val="0"/>
                <w:numId w:val="14"/>
              </w:numPr>
              <w:ind w:left="709"/>
              <w:rPr>
                <w:sz w:val="21"/>
                <w:szCs w:val="21"/>
              </w:rPr>
            </w:pPr>
            <w:r>
              <w:rPr>
                <w:b w:val="0"/>
                <w:sz w:val="20"/>
                <w:szCs w:val="20"/>
              </w:rPr>
              <w:t xml:space="preserve">Ggf. </w:t>
            </w:r>
            <w:r w:rsidR="008F359F">
              <w:rPr>
                <w:b w:val="0"/>
                <w:sz w:val="20"/>
                <w:szCs w:val="20"/>
              </w:rPr>
              <w:t>Blut bei Verletzung</w:t>
            </w:r>
          </w:p>
        </w:tc>
      </w:tr>
      <w:tr w:rsidR="001D0440" w:rsidRPr="003B358B" w:rsidTr="009242F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1D0440" w:rsidRPr="002F50C3" w:rsidRDefault="001D0440" w:rsidP="002F50C3">
            <w:pPr>
              <w:pStyle w:val="Listenabsatz"/>
              <w:numPr>
                <w:ilvl w:val="0"/>
                <w:numId w:val="13"/>
              </w:numPr>
              <w:ind w:left="426"/>
              <w:rPr>
                <w:sz w:val="21"/>
                <w:szCs w:val="21"/>
              </w:rPr>
            </w:pPr>
            <w:r w:rsidRPr="002F50C3">
              <w:rPr>
                <w:sz w:val="21"/>
                <w:szCs w:val="21"/>
              </w:rPr>
              <w:t xml:space="preserve">Wo ist </w:t>
            </w:r>
            <w:r w:rsidR="008A18F7">
              <w:rPr>
                <w:sz w:val="21"/>
                <w:szCs w:val="21"/>
              </w:rPr>
              <w:t xml:space="preserve">anwendungsspezifisch </w:t>
            </w:r>
            <w:r w:rsidRPr="002F50C3">
              <w:rPr>
                <w:sz w:val="21"/>
                <w:szCs w:val="21"/>
              </w:rPr>
              <w:t xml:space="preserve">mit </w:t>
            </w:r>
            <w:r w:rsidR="008A18F7">
              <w:rPr>
                <w:sz w:val="21"/>
                <w:szCs w:val="21"/>
              </w:rPr>
              <w:t xml:space="preserve">zusätzlicher </w:t>
            </w:r>
            <w:r w:rsidRPr="002F50C3">
              <w:rPr>
                <w:sz w:val="21"/>
                <w:szCs w:val="21"/>
              </w:rPr>
              <w:t>Kontaminationen von Biostoffen zu rechnen?</w:t>
            </w:r>
          </w:p>
        </w:tc>
        <w:tc>
          <w:tcPr>
            <w:tcW w:w="4678" w:type="dxa"/>
            <w:tcBorders>
              <w:left w:val="none" w:sz="0" w:space="0" w:color="auto"/>
            </w:tcBorders>
            <w:shd w:val="clear" w:color="auto" w:fill="FFFFFF" w:themeFill="background1"/>
          </w:tcPr>
          <w:p w:rsidR="001D0440" w:rsidRPr="002F50C3" w:rsidRDefault="001D0440" w:rsidP="002F50C3">
            <w:pPr>
              <w:pStyle w:val="Listenabsatz"/>
              <w:numPr>
                <w:ilvl w:val="0"/>
                <w:numId w:val="13"/>
              </w:numPr>
              <w:ind w:left="459"/>
              <w:cnfStyle w:val="000000100000" w:firstRow="0" w:lastRow="0" w:firstColumn="0" w:lastColumn="0" w:oddVBand="0" w:evenVBand="0" w:oddHBand="1" w:evenHBand="0" w:firstRowFirstColumn="0" w:firstRowLastColumn="0" w:lastRowFirstColumn="0" w:lastRowLastColumn="0"/>
              <w:rPr>
                <w:b/>
                <w:bCs/>
                <w:sz w:val="21"/>
                <w:szCs w:val="21"/>
              </w:rPr>
            </w:pPr>
            <w:r w:rsidRPr="002F50C3">
              <w:rPr>
                <w:b/>
                <w:bCs/>
                <w:sz w:val="21"/>
                <w:szCs w:val="21"/>
              </w:rPr>
              <w:t xml:space="preserve">Wo sind mögliche </w:t>
            </w:r>
            <w:r w:rsidR="008A18F7">
              <w:rPr>
                <w:b/>
                <w:bCs/>
                <w:sz w:val="21"/>
                <w:szCs w:val="21"/>
              </w:rPr>
              <w:t xml:space="preserve">anwendungsspezifische </w:t>
            </w:r>
            <w:r w:rsidRPr="002F50C3">
              <w:rPr>
                <w:b/>
                <w:bCs/>
                <w:sz w:val="21"/>
                <w:szCs w:val="21"/>
              </w:rPr>
              <w:t>Übertragungswege für Biostoffe?</w:t>
            </w:r>
          </w:p>
        </w:tc>
      </w:tr>
      <w:tr w:rsidR="00566397"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566397" w:rsidRPr="002C6E7A" w:rsidRDefault="00566397" w:rsidP="00566397">
            <w:pPr>
              <w:pStyle w:val="Listenabsatz"/>
              <w:numPr>
                <w:ilvl w:val="0"/>
                <w:numId w:val="5"/>
              </w:numPr>
              <w:rPr>
                <w:b w:val="0"/>
                <w:sz w:val="20"/>
                <w:szCs w:val="20"/>
              </w:rPr>
            </w:pPr>
            <w:r>
              <w:rPr>
                <w:b w:val="0"/>
                <w:sz w:val="20"/>
                <w:szCs w:val="20"/>
              </w:rPr>
              <w:t>Küchenutensilien (Messer, Schneidebretter, Töpfe, Schüsseln, Handtücher etc.)</w:t>
            </w:r>
          </w:p>
        </w:tc>
        <w:tc>
          <w:tcPr>
            <w:tcW w:w="4678" w:type="dxa"/>
            <w:tcBorders>
              <w:left w:val="none" w:sz="0" w:space="0" w:color="auto"/>
            </w:tcBorders>
            <w:shd w:val="clear" w:color="auto" w:fill="FFFFFF" w:themeFill="background1"/>
          </w:tcPr>
          <w:p w:rsidR="00566397" w:rsidRPr="002C6E7A" w:rsidRDefault="00566397" w:rsidP="00566397">
            <w:pPr>
              <w:pStyle w:val="Listenabsatz"/>
              <w:numPr>
                <w:ilvl w:val="0"/>
                <w:numId w:val="5"/>
              </w:numPr>
              <w:cnfStyle w:val="000000010000" w:firstRow="0" w:lastRow="0" w:firstColumn="0" w:lastColumn="0" w:oddVBand="0" w:evenVBand="0" w:oddHBand="0" w:evenHBand="1" w:firstRowFirstColumn="0" w:firstRowLastColumn="0" w:lastRowFirstColumn="0" w:lastRowLastColumn="0"/>
              <w:rPr>
                <w:sz w:val="20"/>
                <w:szCs w:val="20"/>
              </w:rPr>
            </w:pPr>
            <w:r w:rsidRPr="002C6E7A">
              <w:rPr>
                <w:sz w:val="20"/>
                <w:szCs w:val="20"/>
              </w:rPr>
              <w:t>Hand- und Hautkontakt</w:t>
            </w:r>
            <w:r>
              <w:rPr>
                <w:sz w:val="20"/>
                <w:szCs w:val="20"/>
              </w:rPr>
              <w:t xml:space="preserve"> des Rehabilitanden</w:t>
            </w:r>
            <w:r w:rsidRPr="002C6E7A">
              <w:rPr>
                <w:sz w:val="20"/>
                <w:szCs w:val="20"/>
              </w:rPr>
              <w:t xml:space="preserve"> </w:t>
            </w:r>
            <w:r>
              <w:rPr>
                <w:sz w:val="20"/>
                <w:szCs w:val="20"/>
              </w:rPr>
              <w:t>beim Anfassen/ Verwenden der Utensilien</w:t>
            </w:r>
          </w:p>
        </w:tc>
      </w:tr>
      <w:tr w:rsidR="00566397" w:rsidRPr="003B358B" w:rsidTr="00924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566397" w:rsidRPr="002C6E7A" w:rsidRDefault="00566397" w:rsidP="00566397">
            <w:pPr>
              <w:pStyle w:val="Listenabsatz"/>
              <w:numPr>
                <w:ilvl w:val="0"/>
                <w:numId w:val="5"/>
              </w:numPr>
              <w:rPr>
                <w:b w:val="0"/>
                <w:sz w:val="20"/>
                <w:szCs w:val="20"/>
              </w:rPr>
            </w:pPr>
            <w:r>
              <w:rPr>
                <w:b w:val="0"/>
                <w:sz w:val="20"/>
                <w:szCs w:val="20"/>
              </w:rPr>
              <w:t>Küchenflächen</w:t>
            </w:r>
          </w:p>
        </w:tc>
        <w:tc>
          <w:tcPr>
            <w:tcW w:w="4678" w:type="dxa"/>
            <w:tcBorders>
              <w:left w:val="none" w:sz="0" w:space="0" w:color="auto"/>
            </w:tcBorders>
            <w:shd w:val="clear" w:color="auto" w:fill="FFFFFF" w:themeFill="background1"/>
          </w:tcPr>
          <w:p w:rsidR="00566397" w:rsidRPr="002C6E7A" w:rsidRDefault="00566397" w:rsidP="00566397">
            <w:pPr>
              <w:pStyle w:val="Listenabsatz"/>
              <w:numPr>
                <w:ilvl w:val="0"/>
                <w:numId w:val="5"/>
              </w:numPr>
              <w:cnfStyle w:val="000000100000" w:firstRow="0" w:lastRow="0" w:firstColumn="0" w:lastColumn="0" w:oddVBand="0" w:evenVBand="0" w:oddHBand="1" w:evenHBand="0" w:firstRowFirstColumn="0" w:firstRowLastColumn="0" w:lastRowFirstColumn="0" w:lastRowLastColumn="0"/>
              <w:rPr>
                <w:sz w:val="20"/>
                <w:szCs w:val="20"/>
              </w:rPr>
            </w:pPr>
            <w:r w:rsidRPr="002C6E7A">
              <w:rPr>
                <w:sz w:val="20"/>
                <w:szCs w:val="20"/>
              </w:rPr>
              <w:t xml:space="preserve">Hand- und Hautkontakt des </w:t>
            </w:r>
            <w:r>
              <w:rPr>
                <w:sz w:val="20"/>
                <w:szCs w:val="20"/>
              </w:rPr>
              <w:t>Rehabilitand</w:t>
            </w:r>
            <w:r w:rsidRPr="002C6E7A">
              <w:rPr>
                <w:sz w:val="20"/>
                <w:szCs w:val="20"/>
              </w:rPr>
              <w:t xml:space="preserve">en </w:t>
            </w:r>
            <w:r>
              <w:rPr>
                <w:sz w:val="20"/>
                <w:szCs w:val="20"/>
              </w:rPr>
              <w:t>beim Zubereiten der Speisen</w:t>
            </w:r>
          </w:p>
        </w:tc>
      </w:tr>
      <w:tr w:rsidR="00566397"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566397" w:rsidRPr="002C6E7A" w:rsidRDefault="00566397" w:rsidP="00566397">
            <w:pPr>
              <w:pStyle w:val="Listenabsatz"/>
              <w:numPr>
                <w:ilvl w:val="0"/>
                <w:numId w:val="5"/>
              </w:numPr>
              <w:rPr>
                <w:sz w:val="20"/>
                <w:szCs w:val="20"/>
              </w:rPr>
            </w:pPr>
            <w:r w:rsidRPr="002C6E7A">
              <w:rPr>
                <w:b w:val="0"/>
                <w:sz w:val="20"/>
                <w:szCs w:val="20"/>
              </w:rPr>
              <w:t>Hände des Therapeuten</w:t>
            </w:r>
            <w:r>
              <w:rPr>
                <w:b w:val="0"/>
                <w:sz w:val="20"/>
                <w:szCs w:val="20"/>
              </w:rPr>
              <w:t>/Diätassistenten</w:t>
            </w:r>
            <w:r w:rsidRPr="002C6E7A">
              <w:rPr>
                <w:b w:val="0"/>
                <w:sz w:val="20"/>
                <w:szCs w:val="20"/>
              </w:rPr>
              <w:t xml:space="preserve"> </w:t>
            </w:r>
          </w:p>
        </w:tc>
        <w:tc>
          <w:tcPr>
            <w:tcW w:w="4678" w:type="dxa"/>
            <w:tcBorders>
              <w:left w:val="none" w:sz="0" w:space="0" w:color="auto"/>
            </w:tcBorders>
            <w:shd w:val="clear" w:color="auto" w:fill="FFFFFF" w:themeFill="background1"/>
          </w:tcPr>
          <w:p w:rsidR="00566397" w:rsidRPr="002C6E7A" w:rsidRDefault="00566397" w:rsidP="00566397">
            <w:pPr>
              <w:pStyle w:val="Listenabsatz"/>
              <w:numPr>
                <w:ilvl w:val="0"/>
                <w:numId w:val="5"/>
              </w:numPr>
              <w:cnfStyle w:val="000000010000" w:firstRow="0" w:lastRow="0" w:firstColumn="0" w:lastColumn="0" w:oddVBand="0" w:evenVBand="0" w:oddHBand="0" w:evenHBand="1" w:firstRowFirstColumn="0" w:firstRowLastColumn="0" w:lastRowFirstColumn="0" w:lastRowLastColumn="0"/>
              <w:rPr>
                <w:sz w:val="20"/>
                <w:szCs w:val="20"/>
              </w:rPr>
            </w:pPr>
            <w:r w:rsidRPr="002C6E7A">
              <w:rPr>
                <w:sz w:val="20"/>
                <w:szCs w:val="20"/>
              </w:rPr>
              <w:t xml:space="preserve">Hilfestellung </w:t>
            </w:r>
            <w:r>
              <w:rPr>
                <w:sz w:val="20"/>
                <w:szCs w:val="20"/>
              </w:rPr>
              <w:t>und Anleitung beim Zubereiten der Speisen durch den Rehabililtanden</w:t>
            </w:r>
          </w:p>
        </w:tc>
      </w:tr>
      <w:tr w:rsidR="008F359F" w:rsidRPr="008F359F"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CCFF"/>
          </w:tcPr>
          <w:p w:rsidR="00D73EB5" w:rsidRPr="008F359F" w:rsidRDefault="008F359F" w:rsidP="002F50C3">
            <w:pPr>
              <w:pStyle w:val="Listenabsatz"/>
              <w:numPr>
                <w:ilvl w:val="0"/>
                <w:numId w:val="12"/>
              </w:numPr>
              <w:ind w:left="426"/>
              <w:rPr>
                <w:color w:val="000000" w:themeColor="text1"/>
              </w:rPr>
            </w:pPr>
            <w:r>
              <w:rPr>
                <w:b w:val="0"/>
                <w:bCs w:val="0"/>
              </w:rPr>
              <w:br w:type="page"/>
            </w:r>
            <w:r w:rsidR="008A18F7" w:rsidRPr="008F359F">
              <w:rPr>
                <w:color w:val="000000" w:themeColor="text1"/>
              </w:rPr>
              <w:t xml:space="preserve">Anwendungsspezifische </w:t>
            </w:r>
            <w:r w:rsidR="00D73EB5" w:rsidRPr="008F359F">
              <w:rPr>
                <w:color w:val="000000" w:themeColor="text1"/>
              </w:rPr>
              <w:t xml:space="preserve">Maßnahmen der </w:t>
            </w:r>
            <w:r w:rsidR="00D73EB5" w:rsidRPr="008F359F">
              <w:rPr>
                <w:color w:val="000000" w:themeColor="text1"/>
                <w:u w:val="single"/>
              </w:rPr>
              <w:t>Basishygiene</w:t>
            </w:r>
            <w:r w:rsidR="00D73EB5" w:rsidRPr="008F359F">
              <w:rPr>
                <w:color w:val="000000" w:themeColor="text1"/>
              </w:rPr>
              <w:t xml:space="preserve"> um Übertragungen von Biostoffen zu verhindern</w:t>
            </w:r>
          </w:p>
        </w:tc>
      </w:tr>
      <w:tr w:rsidR="007E6118" w:rsidRPr="003B358B" w:rsidTr="00566397">
        <w:trPr>
          <w:cnfStyle w:val="000000010000" w:firstRow="0" w:lastRow="0" w:firstColumn="0" w:lastColumn="0" w:oddVBand="0" w:evenVBand="0" w:oddHBand="0" w:evenHBand="1" w:firstRowFirstColumn="0" w:firstRowLastColumn="0" w:lastRowFirstColumn="0" w:lastRowLastColumn="0"/>
          <w:trHeight w:val="726"/>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bottom w:val="single" w:sz="8" w:space="0" w:color="000000" w:themeColor="text1"/>
            </w:tcBorders>
            <w:shd w:val="clear" w:color="auto" w:fill="FFFFFF" w:themeFill="background1"/>
          </w:tcPr>
          <w:p w:rsidR="00566397" w:rsidRPr="002C6E7A" w:rsidRDefault="00566397" w:rsidP="00566397">
            <w:pPr>
              <w:pStyle w:val="Listenabsatz"/>
              <w:numPr>
                <w:ilvl w:val="0"/>
                <w:numId w:val="6"/>
              </w:numPr>
              <w:rPr>
                <w:b w:val="0"/>
                <w:sz w:val="20"/>
                <w:szCs w:val="20"/>
              </w:rPr>
            </w:pPr>
            <w:r w:rsidRPr="002C6E7A">
              <w:rPr>
                <w:b w:val="0"/>
                <w:sz w:val="20"/>
                <w:szCs w:val="20"/>
              </w:rPr>
              <w:t xml:space="preserve">Händedesinfektion des </w:t>
            </w:r>
            <w:r>
              <w:rPr>
                <w:b w:val="0"/>
                <w:sz w:val="20"/>
                <w:szCs w:val="20"/>
              </w:rPr>
              <w:t>Rehabilitanden</w:t>
            </w:r>
            <w:r w:rsidRPr="002C6E7A">
              <w:rPr>
                <w:b w:val="0"/>
                <w:sz w:val="20"/>
                <w:szCs w:val="20"/>
              </w:rPr>
              <w:t xml:space="preserve"> vor </w:t>
            </w:r>
            <w:r>
              <w:rPr>
                <w:b w:val="0"/>
                <w:sz w:val="20"/>
                <w:szCs w:val="20"/>
              </w:rPr>
              <w:t>Beginn und am Ende der</w:t>
            </w:r>
            <w:r w:rsidRPr="002C6E7A">
              <w:rPr>
                <w:b w:val="0"/>
                <w:sz w:val="20"/>
                <w:szCs w:val="20"/>
              </w:rPr>
              <w:t xml:space="preserve"> </w:t>
            </w:r>
            <w:r>
              <w:rPr>
                <w:b w:val="0"/>
                <w:sz w:val="20"/>
                <w:szCs w:val="20"/>
              </w:rPr>
              <w:t>Lehrküche</w:t>
            </w:r>
            <w:r w:rsidRPr="002C6E7A">
              <w:rPr>
                <w:b w:val="0"/>
                <w:sz w:val="20"/>
                <w:szCs w:val="20"/>
              </w:rPr>
              <w:t xml:space="preserve"> </w:t>
            </w:r>
            <w:r>
              <w:rPr>
                <w:b w:val="0"/>
                <w:sz w:val="20"/>
                <w:szCs w:val="20"/>
              </w:rPr>
              <w:t>und in regelmäßigen Intervallen</w:t>
            </w:r>
          </w:p>
          <w:p w:rsidR="00566397" w:rsidRPr="002F7B0A" w:rsidRDefault="00566397" w:rsidP="00566397">
            <w:pPr>
              <w:pStyle w:val="Listenabsatz"/>
              <w:numPr>
                <w:ilvl w:val="0"/>
                <w:numId w:val="6"/>
              </w:numPr>
              <w:rPr>
                <w:rFonts w:eastAsiaTheme="majorEastAsia" w:cstheme="majorBidi"/>
                <w:color w:val="000000" w:themeColor="text1"/>
                <w:sz w:val="20"/>
                <w:szCs w:val="20"/>
              </w:rPr>
            </w:pPr>
            <w:r w:rsidRPr="002C6E7A">
              <w:rPr>
                <w:rFonts w:eastAsiaTheme="majorEastAsia" w:cstheme="majorBidi"/>
                <w:b w:val="0"/>
                <w:color w:val="000000" w:themeColor="text1"/>
                <w:sz w:val="20"/>
                <w:szCs w:val="20"/>
              </w:rPr>
              <w:t xml:space="preserve">Händedesinfektion des Therapeuten vor und nach </w:t>
            </w:r>
            <w:r>
              <w:rPr>
                <w:rFonts w:eastAsiaTheme="majorEastAsia" w:cstheme="majorBidi"/>
                <w:b w:val="0"/>
                <w:color w:val="000000" w:themeColor="text1"/>
                <w:sz w:val="20"/>
                <w:szCs w:val="20"/>
              </w:rPr>
              <w:t>Rehabilitand</w:t>
            </w:r>
            <w:r w:rsidRPr="002C6E7A">
              <w:rPr>
                <w:rFonts w:eastAsiaTheme="majorEastAsia" w:cstheme="majorBidi"/>
                <w:b w:val="0"/>
                <w:color w:val="000000" w:themeColor="text1"/>
                <w:sz w:val="20"/>
                <w:szCs w:val="20"/>
              </w:rPr>
              <w:t>enkontakt</w:t>
            </w:r>
            <w:r>
              <w:rPr>
                <w:rFonts w:eastAsiaTheme="majorEastAsia" w:cstheme="majorBidi"/>
                <w:b w:val="0"/>
                <w:color w:val="000000" w:themeColor="text1"/>
                <w:sz w:val="20"/>
                <w:szCs w:val="20"/>
              </w:rPr>
              <w:t>, v.a. bei Wechsel von Person zu Person innerhalb der Gruppe</w:t>
            </w:r>
          </w:p>
          <w:p w:rsidR="007E6118" w:rsidRPr="003B358B" w:rsidRDefault="00566397" w:rsidP="00566397">
            <w:pPr>
              <w:pStyle w:val="Listenabsatz"/>
              <w:numPr>
                <w:ilvl w:val="0"/>
                <w:numId w:val="6"/>
              </w:numPr>
              <w:rPr>
                <w:rFonts w:eastAsiaTheme="majorEastAsia" w:cstheme="majorBidi"/>
                <w:color w:val="000000" w:themeColor="text1"/>
              </w:rPr>
            </w:pPr>
            <w:r>
              <w:rPr>
                <w:rFonts w:eastAsiaTheme="majorEastAsia" w:cstheme="majorBidi"/>
                <w:b w:val="0"/>
                <w:color w:val="000000" w:themeColor="text1"/>
                <w:sz w:val="20"/>
                <w:szCs w:val="20"/>
              </w:rPr>
              <w:t>Die Vorgaben des HACCP-Konzepts müssen beachtet werden</w:t>
            </w:r>
          </w:p>
        </w:tc>
      </w:tr>
      <w:tr w:rsidR="008E3E5B" w:rsidRPr="008E3E5B"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CCFF"/>
          </w:tcPr>
          <w:p w:rsidR="00D73EB5" w:rsidRPr="008E3E5B" w:rsidRDefault="008E3E5B" w:rsidP="008A18F7">
            <w:pPr>
              <w:pStyle w:val="Listenabsatz"/>
              <w:numPr>
                <w:ilvl w:val="0"/>
                <w:numId w:val="12"/>
              </w:numPr>
              <w:ind w:left="426"/>
              <w:rPr>
                <w:color w:val="000000" w:themeColor="text1"/>
              </w:rPr>
            </w:pPr>
            <w:r>
              <w:br w:type="page"/>
            </w:r>
            <w:r w:rsidR="00D73EB5" w:rsidRPr="008E3E5B">
              <w:rPr>
                <w:color w:val="000000" w:themeColor="text1"/>
              </w:rPr>
              <w:t>Ergänzende und abweichende Vorgehensweisen bei MRE-Besiedlung (</w:t>
            </w:r>
            <w:r w:rsidR="00D73EB5" w:rsidRPr="008E3E5B">
              <w:rPr>
                <w:color w:val="000000" w:themeColor="text1"/>
                <w:u w:val="single"/>
              </w:rPr>
              <w:t>Interventionsmaßnahmen</w:t>
            </w:r>
            <w:r w:rsidR="00D73EB5" w:rsidRPr="008E3E5B">
              <w:rPr>
                <w:color w:val="000000" w:themeColor="text1"/>
              </w:rPr>
              <w:t>)</w:t>
            </w:r>
          </w:p>
        </w:tc>
      </w:tr>
      <w:tr w:rsidR="008F359F" w:rsidRPr="003B358B" w:rsidTr="0056639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bottom w:val="single" w:sz="8" w:space="0" w:color="000000" w:themeColor="text1"/>
            </w:tcBorders>
            <w:shd w:val="clear" w:color="auto" w:fill="FFFFFF" w:themeFill="background1"/>
          </w:tcPr>
          <w:p w:rsidR="008F359F" w:rsidRPr="00FF1726" w:rsidRDefault="005263FF" w:rsidP="005263FF">
            <w:pPr>
              <w:pStyle w:val="Listenabsatz"/>
              <w:numPr>
                <w:ilvl w:val="0"/>
                <w:numId w:val="10"/>
              </w:numPr>
              <w:rPr>
                <w:sz w:val="20"/>
                <w:szCs w:val="20"/>
              </w:rPr>
            </w:pPr>
            <w:r w:rsidRPr="002F7B0A">
              <w:rPr>
                <w:b w:val="0"/>
                <w:sz w:val="20"/>
                <w:szCs w:val="20"/>
              </w:rPr>
              <w:t xml:space="preserve">Keine Teilnahme von MRE-positiven Rehabilitanden an Kochgruppen; </w:t>
            </w:r>
            <w:r>
              <w:rPr>
                <w:b w:val="0"/>
                <w:sz w:val="20"/>
                <w:szCs w:val="20"/>
              </w:rPr>
              <w:t xml:space="preserve">ggf. wäre eine </w:t>
            </w:r>
            <w:r w:rsidRPr="002F7B0A">
              <w:rPr>
                <w:b w:val="0"/>
                <w:sz w:val="20"/>
                <w:szCs w:val="20"/>
              </w:rPr>
              <w:t xml:space="preserve">Einzeltherapie </w:t>
            </w:r>
            <w:r>
              <w:rPr>
                <w:b w:val="0"/>
                <w:sz w:val="20"/>
                <w:szCs w:val="20"/>
              </w:rPr>
              <w:t>zu erwägen</w:t>
            </w:r>
          </w:p>
        </w:tc>
      </w:tr>
      <w:tr w:rsidR="008F359F" w:rsidRPr="003B358B"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CCFF"/>
          </w:tcPr>
          <w:p w:rsidR="008F359F" w:rsidRPr="003B358B" w:rsidRDefault="008F359F" w:rsidP="008F359F">
            <w:pPr>
              <w:pStyle w:val="Listenabsatz"/>
              <w:numPr>
                <w:ilvl w:val="0"/>
                <w:numId w:val="12"/>
              </w:numPr>
              <w:ind w:left="426"/>
            </w:pPr>
            <w:r w:rsidRPr="003B358B">
              <w:t>Gesonderte Situationen</w:t>
            </w:r>
            <w:r>
              <w:t xml:space="preserve"> und Ergänzendes</w:t>
            </w:r>
          </w:p>
        </w:tc>
      </w:tr>
      <w:tr w:rsidR="008F359F" w:rsidRPr="003B358B" w:rsidTr="0056639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bottom w:val="single" w:sz="8" w:space="0" w:color="000000" w:themeColor="text1"/>
            </w:tcBorders>
            <w:shd w:val="clear" w:color="auto" w:fill="FFFFFF" w:themeFill="background1"/>
          </w:tcPr>
          <w:p w:rsidR="008F359F" w:rsidRPr="007D5AB6" w:rsidRDefault="005263FF" w:rsidP="008F359F">
            <w:pPr>
              <w:pStyle w:val="Listenabsatz"/>
              <w:numPr>
                <w:ilvl w:val="0"/>
                <w:numId w:val="10"/>
              </w:numPr>
              <w:rPr>
                <w:b w:val="0"/>
              </w:rPr>
            </w:pPr>
            <w:r w:rsidRPr="002F7B0A">
              <w:rPr>
                <w:b w:val="0"/>
                <w:sz w:val="20"/>
                <w:szCs w:val="20"/>
              </w:rPr>
              <w:t>Rehabilitanden mit akuten Infektionserkrankungen (z.B. Rhinitis, Bronchitis, viralen/bakteriellen Durchfallerkrankungen) können an Gruppen nicht teilnehmen</w:t>
            </w:r>
          </w:p>
        </w:tc>
      </w:tr>
      <w:tr w:rsidR="008F359F" w:rsidRPr="003B358B"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CCFF"/>
          </w:tcPr>
          <w:p w:rsidR="008F359F" w:rsidRDefault="008F359F" w:rsidP="008F359F">
            <w:pPr>
              <w:pStyle w:val="Listenabsatz"/>
              <w:numPr>
                <w:ilvl w:val="0"/>
                <w:numId w:val="12"/>
              </w:numPr>
              <w:ind w:left="426"/>
            </w:pPr>
            <w:r>
              <w:br w:type="page"/>
            </w:r>
            <w:r w:rsidRPr="009242F4">
              <w:rPr>
                <w:color w:val="000000" w:themeColor="text1"/>
              </w:rPr>
              <w:t>Quellen</w:t>
            </w:r>
          </w:p>
        </w:tc>
      </w:tr>
      <w:tr w:rsidR="008F359F" w:rsidRPr="003B358B" w:rsidTr="0095731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tcBorders>
            <w:shd w:val="clear" w:color="auto" w:fill="FFFFFF" w:themeFill="background1"/>
          </w:tcPr>
          <w:p w:rsidR="008F359F" w:rsidRPr="00180A5C" w:rsidRDefault="005263FF" w:rsidP="008F359F">
            <w:pPr>
              <w:pStyle w:val="Listenabsatz"/>
              <w:numPr>
                <w:ilvl w:val="0"/>
                <w:numId w:val="10"/>
              </w:numPr>
              <w:rPr>
                <w:sz w:val="20"/>
                <w:szCs w:val="20"/>
              </w:rPr>
            </w:pPr>
            <w:r w:rsidRPr="00180A5C">
              <w:rPr>
                <w:b w:val="0"/>
                <w:sz w:val="20"/>
                <w:szCs w:val="20"/>
              </w:rPr>
              <w:t>Regelwerke des Leb</w:t>
            </w:r>
            <w:r w:rsidR="00180A5C" w:rsidRPr="00180A5C">
              <w:rPr>
                <w:b w:val="0"/>
                <w:sz w:val="20"/>
                <w:szCs w:val="20"/>
              </w:rPr>
              <w:t>e</w:t>
            </w:r>
            <w:r w:rsidRPr="00180A5C">
              <w:rPr>
                <w:b w:val="0"/>
                <w:sz w:val="20"/>
                <w:szCs w:val="20"/>
              </w:rPr>
              <w:t>n</w:t>
            </w:r>
            <w:r w:rsidR="00180A5C" w:rsidRPr="00180A5C">
              <w:rPr>
                <w:b w:val="0"/>
                <w:sz w:val="20"/>
                <w:szCs w:val="20"/>
              </w:rPr>
              <w:t>s</w:t>
            </w:r>
            <w:r w:rsidRPr="00180A5C">
              <w:rPr>
                <w:b w:val="0"/>
                <w:sz w:val="20"/>
                <w:szCs w:val="20"/>
              </w:rPr>
              <w:t>mittelrechts</w:t>
            </w:r>
          </w:p>
          <w:p w:rsidR="005263FF" w:rsidRPr="00180A5C" w:rsidRDefault="00180A5C" w:rsidP="008F359F">
            <w:pPr>
              <w:pStyle w:val="Listenabsatz"/>
              <w:numPr>
                <w:ilvl w:val="0"/>
                <w:numId w:val="10"/>
              </w:numPr>
              <w:rPr>
                <w:b w:val="0"/>
                <w:sz w:val="20"/>
                <w:szCs w:val="20"/>
              </w:rPr>
            </w:pPr>
            <w:r w:rsidRPr="00180A5C">
              <w:rPr>
                <w:b w:val="0"/>
                <w:sz w:val="20"/>
                <w:szCs w:val="20"/>
              </w:rPr>
              <w:t>Caritas / Diakonie: „Wenn in sozialen Einrichtungen gekocht wird“, Lambertus-Verlag 2009</w:t>
            </w:r>
          </w:p>
          <w:p w:rsidR="00180A5C" w:rsidRPr="00180A5C" w:rsidRDefault="00180A5C" w:rsidP="00180A5C">
            <w:pPr>
              <w:pStyle w:val="Listenabsatz"/>
              <w:numPr>
                <w:ilvl w:val="0"/>
                <w:numId w:val="10"/>
              </w:numPr>
              <w:rPr>
                <w:b w:val="0"/>
              </w:rPr>
            </w:pPr>
            <w:r w:rsidRPr="00180A5C">
              <w:rPr>
                <w:b w:val="0"/>
                <w:sz w:val="20"/>
                <w:szCs w:val="20"/>
              </w:rPr>
              <w:t>RKI: Anforderungen an die Hygiene bei der Lebensmittelversorgung und ihre Qualität. Epi</w:t>
            </w:r>
            <w:bookmarkStart w:id="0" w:name="_GoBack"/>
            <w:bookmarkEnd w:id="0"/>
            <w:r w:rsidRPr="00180A5C">
              <w:rPr>
                <w:b w:val="0"/>
                <w:sz w:val="20"/>
                <w:szCs w:val="20"/>
              </w:rPr>
              <w:t xml:space="preserve">Bull 29 (2006): </w:t>
            </w:r>
            <w:hyperlink r:id="rId7" w:history="1">
              <w:r w:rsidRPr="00180A5C">
                <w:rPr>
                  <w:rStyle w:val="Hyperlink"/>
                  <w:b w:val="0"/>
                  <w:sz w:val="20"/>
                  <w:szCs w:val="20"/>
                </w:rPr>
                <w:t>www.rki.de/DE/Content/Infekt/Krankenhaushygiene/Kommission/Downloads/Lebensm_pdf.pdf?__blob=publicationFile</w:t>
              </w:r>
            </w:hyperlink>
          </w:p>
        </w:tc>
      </w:tr>
    </w:tbl>
    <w:p w:rsidR="00BD2737" w:rsidRDefault="00BD2737"/>
    <w:sectPr w:rsidR="00BD2737" w:rsidSect="008B6B26">
      <w:headerReference w:type="default" r:id="rId8"/>
      <w:pgSz w:w="11906" w:h="16838"/>
      <w:pgMar w:top="720" w:right="720" w:bottom="72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61C" w:rsidRDefault="00A7761C" w:rsidP="00A7761C">
      <w:pPr>
        <w:spacing w:after="0" w:line="240" w:lineRule="auto"/>
      </w:pPr>
      <w:r>
        <w:separator/>
      </w:r>
    </w:p>
  </w:endnote>
  <w:endnote w:type="continuationSeparator" w:id="0">
    <w:p w:rsidR="00A7761C" w:rsidRDefault="00A7761C" w:rsidP="00A77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61C" w:rsidRDefault="00A7761C" w:rsidP="00A7761C">
      <w:pPr>
        <w:spacing w:after="0" w:line="240" w:lineRule="auto"/>
      </w:pPr>
      <w:r>
        <w:separator/>
      </w:r>
    </w:p>
  </w:footnote>
  <w:footnote w:type="continuationSeparator" w:id="0">
    <w:p w:rsidR="00A7761C" w:rsidRDefault="00A7761C" w:rsidP="00A776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61C" w:rsidRDefault="00A7761C" w:rsidP="00A7761C">
    <w:pPr>
      <w:pStyle w:val="Kopfzeile"/>
    </w:pPr>
  </w:p>
  <w:tbl>
    <w:tblPr>
      <w:tblStyle w:val="Tabellenraster"/>
      <w:tblW w:w="9893" w:type="dxa"/>
      <w:tblLook w:val="04A0" w:firstRow="1" w:lastRow="0" w:firstColumn="1" w:lastColumn="0" w:noHBand="0" w:noVBand="1"/>
    </w:tblPr>
    <w:tblGrid>
      <w:gridCol w:w="1364"/>
      <w:gridCol w:w="1721"/>
      <w:gridCol w:w="5245"/>
      <w:gridCol w:w="1563"/>
    </w:tblGrid>
    <w:tr w:rsidR="00A7761C" w:rsidTr="002F7E7B">
      <w:tc>
        <w:tcPr>
          <w:tcW w:w="1364" w:type="dxa"/>
          <w:tcBorders>
            <w:top w:val="nil"/>
            <w:left w:val="nil"/>
            <w:bottom w:val="nil"/>
            <w:right w:val="single" w:sz="4" w:space="0" w:color="auto"/>
          </w:tcBorders>
        </w:tcPr>
        <w:p w:rsidR="00A7761C" w:rsidRDefault="00A7761C" w:rsidP="00A7761C">
          <w:pPr>
            <w:pStyle w:val="Kopfzeile"/>
          </w:pPr>
          <w:r w:rsidRPr="00761B44">
            <w:t xml:space="preserve"> </w:t>
          </w:r>
          <w:r>
            <w:rPr>
              <w:noProof/>
              <w:lang w:eastAsia="de-DE"/>
            </w:rPr>
            <w:drawing>
              <wp:inline distT="0" distB="0" distL="0" distR="0" wp14:anchorId="0F552957" wp14:editId="511FB616">
                <wp:extent cx="612000" cy="61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ln>
                          <a:noFill/>
                        </a:ln>
                      </pic:spPr>
                    </pic:pic>
                  </a:graphicData>
                </a:graphic>
              </wp:inline>
            </w:drawing>
          </w:r>
        </w:p>
      </w:tc>
      <w:tc>
        <w:tcPr>
          <w:tcW w:w="1721" w:type="dxa"/>
          <w:tcBorders>
            <w:left w:val="single" w:sz="4" w:space="0" w:color="auto"/>
          </w:tcBorders>
        </w:tcPr>
        <w:p w:rsidR="00A7761C" w:rsidRPr="007D6302" w:rsidRDefault="00A7761C" w:rsidP="00A7761C">
          <w:pPr>
            <w:pStyle w:val="Kopfzeile"/>
            <w:spacing w:before="240"/>
            <w:rPr>
              <w:sz w:val="24"/>
              <w:szCs w:val="24"/>
            </w:rPr>
          </w:pPr>
        </w:p>
      </w:tc>
      <w:tc>
        <w:tcPr>
          <w:tcW w:w="5245" w:type="dxa"/>
          <w:tcBorders>
            <w:left w:val="single" w:sz="4" w:space="0" w:color="auto"/>
          </w:tcBorders>
        </w:tcPr>
        <w:p w:rsidR="00A7761C" w:rsidRPr="007D6302" w:rsidRDefault="00A7761C" w:rsidP="00566397">
          <w:pPr>
            <w:pStyle w:val="Kopfzeile"/>
            <w:spacing w:before="240"/>
            <w:jc w:val="center"/>
            <w:rPr>
              <w:sz w:val="24"/>
              <w:szCs w:val="24"/>
            </w:rPr>
          </w:pPr>
          <w:r>
            <w:rPr>
              <w:sz w:val="24"/>
              <w:szCs w:val="24"/>
            </w:rPr>
            <w:t>Reha-Steckbrief</w:t>
          </w:r>
          <w:r>
            <w:rPr>
              <w:sz w:val="24"/>
              <w:szCs w:val="24"/>
            </w:rPr>
            <w:br/>
          </w:r>
          <w:r w:rsidR="00566397">
            <w:rPr>
              <w:sz w:val="24"/>
              <w:szCs w:val="24"/>
            </w:rPr>
            <w:t>Lehrküche</w:t>
          </w:r>
        </w:p>
      </w:tc>
      <w:tc>
        <w:tcPr>
          <w:tcW w:w="1563" w:type="dxa"/>
        </w:tcPr>
        <w:p w:rsidR="00A7761C" w:rsidRDefault="00A7761C" w:rsidP="00A7761C">
          <w:pPr>
            <w:pStyle w:val="Kopfzeile"/>
            <w:spacing w:before="240"/>
            <w:jc w:val="center"/>
          </w:pPr>
          <w:r>
            <w:t xml:space="preserve">Seite </w:t>
          </w:r>
          <w:r>
            <w:fldChar w:fldCharType="begin"/>
          </w:r>
          <w:r>
            <w:instrText>PAGE   \* MERGEFORMAT</w:instrText>
          </w:r>
          <w:r>
            <w:fldChar w:fldCharType="separate"/>
          </w:r>
          <w:r w:rsidR="00180A5C">
            <w:rPr>
              <w:noProof/>
            </w:rPr>
            <w:t>1</w:t>
          </w:r>
          <w:r>
            <w:fldChar w:fldCharType="end"/>
          </w:r>
          <w:r>
            <w:t xml:space="preserve"> / </w:t>
          </w:r>
          <w:fldSimple w:instr=" NUMPAGES  \* Arabic  \* MERGEFORMAT ">
            <w:r w:rsidR="00180A5C">
              <w:rPr>
                <w:noProof/>
              </w:rPr>
              <w:t>1</w:t>
            </w:r>
          </w:fldSimple>
        </w:p>
      </w:tc>
    </w:tr>
  </w:tbl>
  <w:p w:rsidR="00A7761C" w:rsidRDefault="00A776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A5AA5"/>
    <w:multiLevelType w:val="hybridMultilevel"/>
    <w:tmpl w:val="D81C5F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1F6C43"/>
    <w:multiLevelType w:val="hybridMultilevel"/>
    <w:tmpl w:val="07D00700"/>
    <w:lvl w:ilvl="0" w:tplc="0896D54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6D2D77"/>
    <w:multiLevelType w:val="hybridMultilevel"/>
    <w:tmpl w:val="D81C5F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B0E4A66"/>
    <w:multiLevelType w:val="hybridMultilevel"/>
    <w:tmpl w:val="21066642"/>
    <w:lvl w:ilvl="0" w:tplc="55F05908">
      <w:start w:val="1"/>
      <w:numFmt w:val="decimal"/>
      <w:lvlText w:val="%1."/>
      <w:lvlJc w:val="left"/>
      <w:pPr>
        <w:ind w:left="720" w:hanging="360"/>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C249CB"/>
    <w:multiLevelType w:val="hybridMultilevel"/>
    <w:tmpl w:val="66DC62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1B2709"/>
    <w:multiLevelType w:val="hybridMultilevel"/>
    <w:tmpl w:val="DE6688A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4B284F"/>
    <w:multiLevelType w:val="hybridMultilevel"/>
    <w:tmpl w:val="16D8A6A0"/>
    <w:lvl w:ilvl="0" w:tplc="F3F478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55171870"/>
    <w:multiLevelType w:val="hybridMultilevel"/>
    <w:tmpl w:val="7390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5E03D89"/>
    <w:multiLevelType w:val="hybridMultilevel"/>
    <w:tmpl w:val="16D8A6A0"/>
    <w:lvl w:ilvl="0" w:tplc="F3F478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5A3741F4"/>
    <w:multiLevelType w:val="hybridMultilevel"/>
    <w:tmpl w:val="2F96E1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B9E6821"/>
    <w:multiLevelType w:val="hybridMultilevel"/>
    <w:tmpl w:val="F0B28E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175A37"/>
    <w:multiLevelType w:val="hybridMultilevel"/>
    <w:tmpl w:val="632856E6"/>
    <w:lvl w:ilvl="0" w:tplc="8F762A90">
      <w:start w:val="1"/>
      <w:numFmt w:val="decimal"/>
      <w:lvlText w:val="%1)"/>
      <w:lvlJc w:val="left"/>
      <w:pPr>
        <w:ind w:left="720" w:hanging="360"/>
      </w:pPr>
      <w:rPr>
        <w:rFonts w:asciiTheme="majorHAnsi" w:eastAsiaTheme="majorEastAsia" w:hAnsiTheme="majorHAnsi" w:cstheme="majorBidi"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49262F"/>
    <w:multiLevelType w:val="hybridMultilevel"/>
    <w:tmpl w:val="42B6980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73FC49F7"/>
    <w:multiLevelType w:val="hybridMultilevel"/>
    <w:tmpl w:val="990A8EE6"/>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4" w15:restartNumberingAfterBreak="0">
    <w:nsid w:val="75FA5AB3"/>
    <w:multiLevelType w:val="hybridMultilevel"/>
    <w:tmpl w:val="B0CABC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8D2667D"/>
    <w:multiLevelType w:val="hybridMultilevel"/>
    <w:tmpl w:val="C0C25D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E833E30"/>
    <w:multiLevelType w:val="hybridMultilevel"/>
    <w:tmpl w:val="F9606BD4"/>
    <w:lvl w:ilvl="0" w:tplc="2A4E7FC4">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num w:numId="1">
    <w:abstractNumId w:val="2"/>
  </w:num>
  <w:num w:numId="2">
    <w:abstractNumId w:val="5"/>
  </w:num>
  <w:num w:numId="3">
    <w:abstractNumId w:val="0"/>
  </w:num>
  <w:num w:numId="4">
    <w:abstractNumId w:val="14"/>
  </w:num>
  <w:num w:numId="5">
    <w:abstractNumId w:val="4"/>
  </w:num>
  <w:num w:numId="6">
    <w:abstractNumId w:val="10"/>
  </w:num>
  <w:num w:numId="7">
    <w:abstractNumId w:val="11"/>
  </w:num>
  <w:num w:numId="8">
    <w:abstractNumId w:val="7"/>
  </w:num>
  <w:num w:numId="9">
    <w:abstractNumId w:val="1"/>
  </w:num>
  <w:num w:numId="10">
    <w:abstractNumId w:val="9"/>
  </w:num>
  <w:num w:numId="11">
    <w:abstractNumId w:val="12"/>
  </w:num>
  <w:num w:numId="12">
    <w:abstractNumId w:val="3"/>
  </w:num>
  <w:num w:numId="13">
    <w:abstractNumId w:val="8"/>
  </w:num>
  <w:num w:numId="14">
    <w:abstractNumId w:val="13"/>
  </w:num>
  <w:num w:numId="15">
    <w:abstractNumId w:val="16"/>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542"/>
    <w:rsid w:val="00074D1A"/>
    <w:rsid w:val="00091E7B"/>
    <w:rsid w:val="000D0313"/>
    <w:rsid w:val="000E0542"/>
    <w:rsid w:val="00180A5C"/>
    <w:rsid w:val="001D0440"/>
    <w:rsid w:val="001D2136"/>
    <w:rsid w:val="00207503"/>
    <w:rsid w:val="0021637D"/>
    <w:rsid w:val="002B3F44"/>
    <w:rsid w:val="002F1AE1"/>
    <w:rsid w:val="002F50C3"/>
    <w:rsid w:val="003148E4"/>
    <w:rsid w:val="003169FF"/>
    <w:rsid w:val="003414BA"/>
    <w:rsid w:val="003B358B"/>
    <w:rsid w:val="003C7844"/>
    <w:rsid w:val="00430729"/>
    <w:rsid w:val="00451CD8"/>
    <w:rsid w:val="00471438"/>
    <w:rsid w:val="004876E2"/>
    <w:rsid w:val="0051317A"/>
    <w:rsid w:val="005263FF"/>
    <w:rsid w:val="0056149A"/>
    <w:rsid w:val="00566397"/>
    <w:rsid w:val="005A00B3"/>
    <w:rsid w:val="005B0D28"/>
    <w:rsid w:val="00617624"/>
    <w:rsid w:val="00635630"/>
    <w:rsid w:val="00696D8C"/>
    <w:rsid w:val="006C6A45"/>
    <w:rsid w:val="006E1805"/>
    <w:rsid w:val="006E4641"/>
    <w:rsid w:val="00712616"/>
    <w:rsid w:val="007924E7"/>
    <w:rsid w:val="007D5AB6"/>
    <w:rsid w:val="007E6118"/>
    <w:rsid w:val="00833FA9"/>
    <w:rsid w:val="008A18F7"/>
    <w:rsid w:val="008B6131"/>
    <w:rsid w:val="008B6B26"/>
    <w:rsid w:val="008E3E5B"/>
    <w:rsid w:val="008F1F8E"/>
    <w:rsid w:val="008F359F"/>
    <w:rsid w:val="009242F4"/>
    <w:rsid w:val="0095731B"/>
    <w:rsid w:val="00966C55"/>
    <w:rsid w:val="009749DA"/>
    <w:rsid w:val="009D3437"/>
    <w:rsid w:val="009E77FF"/>
    <w:rsid w:val="00A44E6E"/>
    <w:rsid w:val="00A7761C"/>
    <w:rsid w:val="00A823F1"/>
    <w:rsid w:val="00B2101D"/>
    <w:rsid w:val="00BD2737"/>
    <w:rsid w:val="00BE0656"/>
    <w:rsid w:val="00BE0ACC"/>
    <w:rsid w:val="00C14245"/>
    <w:rsid w:val="00C76678"/>
    <w:rsid w:val="00CC0681"/>
    <w:rsid w:val="00CC1B82"/>
    <w:rsid w:val="00CE72E7"/>
    <w:rsid w:val="00D67CE7"/>
    <w:rsid w:val="00D71B99"/>
    <w:rsid w:val="00D73EB5"/>
    <w:rsid w:val="00E00A34"/>
    <w:rsid w:val="00E530EA"/>
    <w:rsid w:val="00ED1AC2"/>
    <w:rsid w:val="00EE6D7C"/>
    <w:rsid w:val="00F001B8"/>
    <w:rsid w:val="00F2453F"/>
    <w:rsid w:val="00F26F4E"/>
    <w:rsid w:val="00F665C4"/>
    <w:rsid w:val="00F976F1"/>
    <w:rsid w:val="00FC7D66"/>
    <w:rsid w:val="00FD205B"/>
    <w:rsid w:val="00FF6F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ED280"/>
  <w15:docId w15:val="{C4025C5A-20F2-48BC-B279-311FF4814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E0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0542"/>
    <w:pPr>
      <w:ind w:left="720"/>
      <w:contextualSpacing/>
    </w:pPr>
  </w:style>
  <w:style w:type="table" w:styleId="MittleresRaster3-Akzent5">
    <w:name w:val="Medium Grid 3 Accent 5"/>
    <w:basedOn w:val="NormaleTabelle"/>
    <w:uiPriority w:val="69"/>
    <w:rsid w:val="00BD273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Liste2-Akzent5">
    <w:name w:val="Medium List 2 Accent 5"/>
    <w:basedOn w:val="NormaleTabelle"/>
    <w:uiPriority w:val="66"/>
    <w:rsid w:val="00BD273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HelleListe-Akzent3">
    <w:name w:val="Light List Accent 3"/>
    <w:basedOn w:val="NormaleTabelle"/>
    <w:uiPriority w:val="61"/>
    <w:rsid w:val="00BE0656"/>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ittlereSchattierung1-Akzent3">
    <w:name w:val="Medium Shading 1 Accent 3"/>
    <w:basedOn w:val="NormaleTabelle"/>
    <w:uiPriority w:val="63"/>
    <w:rsid w:val="00BE065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Sprechblasentext">
    <w:name w:val="Balloon Text"/>
    <w:basedOn w:val="Standard"/>
    <w:link w:val="SprechblasentextZchn"/>
    <w:uiPriority w:val="99"/>
    <w:semiHidden/>
    <w:unhideWhenUsed/>
    <w:rsid w:val="00A823F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23F1"/>
    <w:rPr>
      <w:rFonts w:ascii="Tahoma" w:hAnsi="Tahoma" w:cs="Tahoma"/>
      <w:sz w:val="16"/>
      <w:szCs w:val="16"/>
    </w:rPr>
  </w:style>
  <w:style w:type="paragraph" w:styleId="Kopfzeile">
    <w:name w:val="header"/>
    <w:basedOn w:val="Standard"/>
    <w:link w:val="KopfzeileZchn"/>
    <w:uiPriority w:val="99"/>
    <w:unhideWhenUsed/>
    <w:rsid w:val="00A7761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61C"/>
  </w:style>
  <w:style w:type="paragraph" w:styleId="Fuzeile">
    <w:name w:val="footer"/>
    <w:basedOn w:val="Standard"/>
    <w:link w:val="FuzeileZchn"/>
    <w:uiPriority w:val="99"/>
    <w:unhideWhenUsed/>
    <w:rsid w:val="00A7761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61C"/>
  </w:style>
  <w:style w:type="character" w:styleId="Hyperlink">
    <w:name w:val="Hyperlink"/>
    <w:basedOn w:val="Absatz-Standardschriftart"/>
    <w:uiPriority w:val="99"/>
    <w:unhideWhenUsed/>
    <w:rsid w:val="00A776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ki.de/DE/Content/Infekt/Krankenhaushygiene/Kommission/Downloads/Lebensm_pdf.pdf?__blob=publicationFi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2495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Rocker, Dagmar</dc:creator>
  <cp:lastModifiedBy>Bergen, Peter</cp:lastModifiedBy>
  <cp:revision>2</cp:revision>
  <dcterms:created xsi:type="dcterms:W3CDTF">2020-01-21T12:50:00Z</dcterms:created>
  <dcterms:modified xsi:type="dcterms:W3CDTF">2020-01-21T12:50:00Z</dcterms:modified>
</cp:coreProperties>
</file>