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736790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Entspannungstechniken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73679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36790" w:rsidRDefault="00736790" w:rsidP="00736790">
            <w:pPr>
              <w:spacing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Im Bereich der Rehabilitation kommt eine Vielzahl von Entspannungstechniken wie Autogenes Training, progres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sive Muskelentspannung nach Jacobson, Yoga, Tai Chi, Qi Gong, Meditation, Traumreisen etc. zum Einsatz.</w:t>
            </w:r>
          </w:p>
          <w:p w:rsidR="00736790" w:rsidRPr="009D7BC5" w:rsidRDefault="00736790" w:rsidP="00736790">
            <w:pPr>
              <w:rPr>
                <w:b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Je nach Ausrichtung der Gruppentherapie findet die Therapie auf Matten, Hockern oder im Stehen statt. Im Regelfall leitet der Therapeut die Mitglieder der Gruppe zu </w:t>
            </w:r>
            <w:r>
              <w:rPr>
                <w:b w:val="0"/>
                <w:sz w:val="20"/>
                <w:szCs w:val="20"/>
              </w:rPr>
              <w:t xml:space="preserve">den </w:t>
            </w:r>
            <w:r w:rsidRPr="009D7BC5">
              <w:rPr>
                <w:b w:val="0"/>
                <w:sz w:val="20"/>
                <w:szCs w:val="20"/>
              </w:rPr>
              <w:t>v</w:t>
            </w:r>
            <w:r>
              <w:rPr>
                <w:b w:val="0"/>
                <w:sz w:val="20"/>
                <w:szCs w:val="20"/>
              </w:rPr>
              <w:t>erschiedenen Übungen und Bewegungsabläufen an.</w:t>
            </w:r>
            <w:r w:rsidRPr="009D7BC5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 xml:space="preserve">Bei Bedarf </w:t>
            </w:r>
            <w:r w:rsidRPr="009D7BC5">
              <w:rPr>
                <w:b w:val="0"/>
                <w:sz w:val="20"/>
                <w:szCs w:val="20"/>
              </w:rPr>
              <w:t xml:space="preserve">korrigiert der Therapeut manuell die </w:t>
            </w:r>
            <w:r>
              <w:rPr>
                <w:b w:val="0"/>
                <w:sz w:val="20"/>
                <w:szCs w:val="20"/>
              </w:rPr>
              <w:t xml:space="preserve">Haltung bzw. den Übungsablauf der </w:t>
            </w:r>
            <w:r w:rsidRPr="009D7BC5">
              <w:rPr>
                <w:b w:val="0"/>
                <w:sz w:val="20"/>
                <w:szCs w:val="20"/>
              </w:rPr>
              <w:t xml:space="preserve">Teilnehmer. </w:t>
            </w:r>
          </w:p>
          <w:p w:rsidR="00736790" w:rsidRPr="009D7BC5" w:rsidRDefault="00736790" w:rsidP="00736790">
            <w:pPr>
              <w:rPr>
                <w:b w:val="0"/>
                <w:bCs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Während der Gruppentherapie </w:t>
            </w:r>
            <w:r>
              <w:rPr>
                <w:b w:val="0"/>
                <w:sz w:val="20"/>
                <w:szCs w:val="20"/>
              </w:rPr>
              <w:t xml:space="preserve">werden z.T. Sitzkissen oder spezielle Meditations-Utensilien verwendet.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36790" w:rsidRDefault="00736790" w:rsidP="00736790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 xml:space="preserve">Teilnehmer der Gruppe </w:t>
            </w:r>
            <w:r w:rsidRPr="009D7BC5">
              <w:rPr>
                <w:sz w:val="20"/>
                <w:szCs w:val="20"/>
              </w:rPr>
              <w:t>nehmen im Wartebereich</w:t>
            </w:r>
            <w:r>
              <w:rPr>
                <w:sz w:val="20"/>
                <w:szCs w:val="20"/>
              </w:rPr>
              <w:t xml:space="preserve"> oder im Therapieraum</w:t>
            </w:r>
            <w:r w:rsidRPr="009D7BC5">
              <w:rPr>
                <w:sz w:val="20"/>
                <w:szCs w:val="20"/>
              </w:rPr>
              <w:t xml:space="preserve"> Platz bis zum Beginn der Therapie. </w:t>
            </w:r>
            <w:r>
              <w:rPr>
                <w:sz w:val="20"/>
                <w:szCs w:val="20"/>
              </w:rPr>
              <w:t>Ein Ablegen der Kleidung ist i.d.R. nicht angezeigt.</w:t>
            </w:r>
            <w:r w:rsidRPr="009D7B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Nach Absolvieren</w:t>
            </w:r>
            <w:r w:rsidRPr="009D7BC5">
              <w:rPr>
                <w:sz w:val="20"/>
                <w:szCs w:val="20"/>
              </w:rPr>
              <w:t xml:space="preserve"> der Gruppentherapie verlassen die </w:t>
            </w:r>
            <w:r>
              <w:rPr>
                <w:sz w:val="20"/>
                <w:szCs w:val="20"/>
              </w:rPr>
              <w:t xml:space="preserve">Teilnehmer </w:t>
            </w:r>
            <w:r w:rsidRPr="009D7BC5">
              <w:rPr>
                <w:sz w:val="20"/>
                <w:szCs w:val="20"/>
              </w:rPr>
              <w:t xml:space="preserve">den Therapieraum. </w:t>
            </w:r>
          </w:p>
          <w:p w:rsidR="00736790" w:rsidRPr="009D7BC5" w:rsidRDefault="00736790" w:rsidP="007367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Prinzip ist die Maßnahme auch als Einzeltherapie im Zimmer des Rehabilitanden durchführbar.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73679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36790" w:rsidRPr="009D7BC5" w:rsidRDefault="00736790" w:rsidP="00736790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Meditations-Kissen und ähnliches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36790" w:rsidRPr="009D7BC5" w:rsidRDefault="00736790" w:rsidP="00736790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</w:t>
            </w:r>
            <w:r>
              <w:rPr>
                <w:sz w:val="20"/>
                <w:szCs w:val="20"/>
              </w:rPr>
              <w:t xml:space="preserve">des Rehabilitanden </w:t>
            </w:r>
            <w:r w:rsidRPr="009D7BC5">
              <w:rPr>
                <w:sz w:val="20"/>
                <w:szCs w:val="20"/>
              </w:rPr>
              <w:t xml:space="preserve">mit den </w:t>
            </w:r>
            <w:r>
              <w:rPr>
                <w:sz w:val="20"/>
                <w:szCs w:val="20"/>
              </w:rPr>
              <w:t>Utensilien</w:t>
            </w:r>
          </w:p>
        </w:tc>
      </w:tr>
      <w:tr w:rsidR="0073679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36790" w:rsidRPr="009D7BC5" w:rsidRDefault="00736790" w:rsidP="00736790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36790" w:rsidRPr="009D7BC5" w:rsidRDefault="00736790" w:rsidP="00736790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Ggf. Korrektur des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>en</w:t>
            </w:r>
          </w:p>
        </w:tc>
      </w:tr>
      <w:tr w:rsidR="0073679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36790" w:rsidRDefault="00736790" w:rsidP="00736790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736790" w:rsidRPr="003B358B" w:rsidTr="007367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36790" w:rsidRPr="003B358B" w:rsidRDefault="00736790" w:rsidP="00736790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Desinfizierende Maßnahmen für die verwendeten </w:t>
            </w:r>
            <w:r w:rsidRPr="009D7BC5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Geräte</w:t>
            </w:r>
          </w:p>
        </w:tc>
      </w:tr>
      <w:tr w:rsidR="0073679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36790" w:rsidRPr="00D73EB5" w:rsidRDefault="00736790" w:rsidP="00736790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73679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736790" w:rsidRPr="009D3437" w:rsidRDefault="00736790" w:rsidP="00736790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679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36790" w:rsidRPr="003B358B" w:rsidRDefault="00736790" w:rsidP="00736790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73679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736790" w:rsidRPr="00416F5E" w:rsidRDefault="00736790" w:rsidP="00736790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Partnerübungen sollten für MRE-besiedelte Menschen entfallen</w:t>
            </w:r>
          </w:p>
          <w:p w:rsidR="00736790" w:rsidRPr="007D5AB6" w:rsidRDefault="00736790" w:rsidP="00736790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416F5E">
              <w:rPr>
                <w:b w:val="0"/>
                <w:sz w:val="20"/>
                <w:szCs w:val="20"/>
              </w:rPr>
              <w:t xml:space="preserve">Sollten </w:t>
            </w:r>
            <w:r>
              <w:rPr>
                <w:b w:val="0"/>
                <w:sz w:val="20"/>
                <w:szCs w:val="20"/>
              </w:rPr>
              <w:t>Meditationss</w:t>
            </w:r>
            <w:r w:rsidRPr="00416F5E">
              <w:rPr>
                <w:b w:val="0"/>
                <w:sz w:val="20"/>
                <w:szCs w:val="20"/>
              </w:rPr>
              <w:t>itzkissen etc. nicht desinfizierend aufzubereiten sein, müssen alternative Kissen, Meditationsbänke etc. verwendet werden</w:t>
            </w:r>
          </w:p>
        </w:tc>
      </w:tr>
      <w:tr w:rsidR="00736790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736790" w:rsidRDefault="00736790" w:rsidP="00736790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736790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736790" w:rsidRDefault="00736790" w:rsidP="00736790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 xml:space="preserve">Herstellerangaben zu den </w:t>
            </w:r>
            <w:r>
              <w:rPr>
                <w:b w:val="0"/>
                <w:sz w:val="20"/>
                <w:szCs w:val="20"/>
              </w:rPr>
              <w:t>Meditations-Utensilien</w:t>
            </w:r>
            <w:r w:rsidRPr="002C6E7A">
              <w:rPr>
                <w:b w:val="0"/>
                <w:sz w:val="20"/>
                <w:szCs w:val="20"/>
              </w:rPr>
              <w:t xml:space="preserve"> sind zu beachten</w:t>
            </w:r>
            <w:bookmarkStart w:id="0" w:name="_GoBack"/>
            <w:bookmarkEnd w:id="0"/>
          </w:p>
        </w:tc>
      </w:tr>
    </w:tbl>
    <w:p w:rsidR="00BD2737" w:rsidRDefault="00BD2737"/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736790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736790">
            <w:rPr>
              <w:sz w:val="24"/>
              <w:szCs w:val="24"/>
            </w:rPr>
            <w:t>Entspannungstechniken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36790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736790">
            <w:fldChar w:fldCharType="begin"/>
          </w:r>
          <w:r w:rsidR="00736790">
            <w:instrText xml:space="preserve"> NUMPAGES  \* Arabic  \* MERGEFORMAT </w:instrText>
          </w:r>
          <w:r w:rsidR="00736790">
            <w:fldChar w:fldCharType="separate"/>
          </w:r>
          <w:r w:rsidR="00736790">
            <w:rPr>
              <w:noProof/>
            </w:rPr>
            <w:t>1</w:t>
          </w:r>
          <w:r w:rsidR="00736790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6A45"/>
    <w:rsid w:val="006E1805"/>
    <w:rsid w:val="006E4641"/>
    <w:rsid w:val="00712616"/>
    <w:rsid w:val="00736790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94A0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2020-01-23T08:02:00Z</dcterms:created>
  <dcterms:modified xsi:type="dcterms:W3CDTF">2020-01-23T08:02:00Z</dcterms:modified>
</cp:coreProperties>
</file>