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MittlereSchattierung1-Akzent3"/>
        <w:tblW w:w="9639" w:type="dxa"/>
        <w:tblInd w:w="25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shd w:val="clear" w:color="auto" w:fill="FFFFFF" w:themeFill="background1"/>
        <w:tblLayout w:type="fixed"/>
        <w:tblCellMar>
          <w:top w:w="57" w:type="dxa"/>
          <w:bottom w:w="57" w:type="dxa"/>
        </w:tblCellMar>
        <w:tblLook w:val="04A0" w:firstRow="1" w:lastRow="0" w:firstColumn="1" w:lastColumn="0" w:noHBand="0" w:noVBand="1"/>
      </w:tblPr>
      <w:tblGrid>
        <w:gridCol w:w="4961"/>
        <w:gridCol w:w="4678"/>
      </w:tblGrid>
      <w:tr w:rsidR="00D73EB5" w:rsidRPr="003B358B" w:rsidTr="0056639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9" w:type="dxa"/>
            <w:gridSpan w:val="2"/>
            <w:tcBorders>
              <w:top w:val="none" w:sz="0" w:space="0" w:color="auto"/>
              <w:left w:val="none" w:sz="0" w:space="0" w:color="auto"/>
              <w:bottom w:val="single" w:sz="8" w:space="0" w:color="000000" w:themeColor="text1"/>
              <w:right w:val="none" w:sz="0" w:space="0" w:color="auto"/>
            </w:tcBorders>
            <w:shd w:val="clear" w:color="auto" w:fill="FF6699"/>
          </w:tcPr>
          <w:p w:rsidR="00D73EB5" w:rsidRPr="00D71B99" w:rsidRDefault="00C97903" w:rsidP="0056149A">
            <w:pPr>
              <w:rPr>
                <w:color w:val="FF0000"/>
                <w:sz w:val="24"/>
                <w:szCs w:val="24"/>
              </w:rPr>
            </w:pPr>
            <w:r w:rsidRPr="00C97903">
              <w:rPr>
                <w:color w:val="000000" w:themeColor="text1"/>
                <w:sz w:val="24"/>
                <w:szCs w:val="24"/>
              </w:rPr>
              <w:t>Kreativtherapie</w:t>
            </w:r>
          </w:p>
        </w:tc>
      </w:tr>
      <w:tr w:rsidR="007924E7" w:rsidRPr="003B358B" w:rsidTr="005663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9" w:type="dxa"/>
            <w:gridSpan w:val="2"/>
            <w:shd w:val="clear" w:color="auto" w:fill="FFCCFF"/>
          </w:tcPr>
          <w:p w:rsidR="007924E7" w:rsidRPr="002F50C3" w:rsidRDefault="007924E7" w:rsidP="00617624">
            <w:pPr>
              <w:pStyle w:val="Listenabsatz"/>
              <w:numPr>
                <w:ilvl w:val="0"/>
                <w:numId w:val="12"/>
              </w:numPr>
              <w:ind w:left="426"/>
              <w:rPr>
                <w:bCs w:val="0"/>
              </w:rPr>
            </w:pPr>
            <w:r w:rsidRPr="002F50C3">
              <w:rPr>
                <w:bCs w:val="0"/>
              </w:rPr>
              <w:t>Beschreibung der Anwendung</w:t>
            </w:r>
          </w:p>
        </w:tc>
      </w:tr>
      <w:tr w:rsidR="007924E7" w:rsidRPr="003B358B" w:rsidTr="009242F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1" w:type="dxa"/>
            <w:tcBorders>
              <w:right w:val="none" w:sz="0" w:space="0" w:color="auto"/>
            </w:tcBorders>
            <w:shd w:val="clear" w:color="auto" w:fill="FFFFFF" w:themeFill="background1"/>
          </w:tcPr>
          <w:p w:rsidR="007924E7" w:rsidRPr="002F50C3" w:rsidRDefault="007924E7" w:rsidP="002F50C3">
            <w:pPr>
              <w:pStyle w:val="Listenabsatz"/>
              <w:numPr>
                <w:ilvl w:val="0"/>
                <w:numId w:val="15"/>
              </w:numPr>
              <w:ind w:left="426"/>
              <w:rPr>
                <w:sz w:val="21"/>
                <w:szCs w:val="21"/>
              </w:rPr>
            </w:pPr>
            <w:r w:rsidRPr="002F50C3">
              <w:rPr>
                <w:sz w:val="21"/>
                <w:szCs w:val="21"/>
              </w:rPr>
              <w:t>Durchführung der Anwendung</w:t>
            </w:r>
          </w:p>
        </w:tc>
        <w:tc>
          <w:tcPr>
            <w:tcW w:w="4678" w:type="dxa"/>
            <w:tcBorders>
              <w:left w:val="none" w:sz="0" w:space="0" w:color="auto"/>
            </w:tcBorders>
            <w:shd w:val="clear" w:color="auto" w:fill="FFFFFF" w:themeFill="background1"/>
          </w:tcPr>
          <w:p w:rsidR="007924E7" w:rsidRPr="002F50C3" w:rsidRDefault="004876E2" w:rsidP="002F50C3">
            <w:pPr>
              <w:pStyle w:val="Listenabsatz"/>
              <w:numPr>
                <w:ilvl w:val="0"/>
                <w:numId w:val="15"/>
              </w:numPr>
              <w:ind w:left="426"/>
              <w:cnfStyle w:val="000000010000" w:firstRow="0" w:lastRow="0" w:firstColumn="0" w:lastColumn="0" w:oddVBand="0" w:evenVBand="0" w:oddHBand="0" w:evenHBand="1" w:firstRowFirstColumn="0" w:firstRowLastColumn="0" w:lastRowFirstColumn="0" w:lastRowLastColumn="0"/>
              <w:rPr>
                <w:b/>
                <w:bCs/>
                <w:sz w:val="21"/>
                <w:szCs w:val="21"/>
              </w:rPr>
            </w:pPr>
            <w:r>
              <w:rPr>
                <w:b/>
                <w:bCs/>
                <w:sz w:val="21"/>
                <w:szCs w:val="21"/>
              </w:rPr>
              <w:t>W</w:t>
            </w:r>
            <w:r w:rsidR="007924E7" w:rsidRPr="002F50C3">
              <w:rPr>
                <w:b/>
                <w:bCs/>
                <w:sz w:val="21"/>
                <w:szCs w:val="21"/>
              </w:rPr>
              <w:t>eg</w:t>
            </w:r>
            <w:r>
              <w:rPr>
                <w:b/>
                <w:bCs/>
                <w:sz w:val="21"/>
                <w:szCs w:val="21"/>
              </w:rPr>
              <w:t xml:space="preserve"> des Rehabilitanden</w:t>
            </w:r>
          </w:p>
        </w:tc>
      </w:tr>
      <w:tr w:rsidR="00C97903" w:rsidRPr="003B358B" w:rsidTr="005663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1" w:type="dxa"/>
            <w:tcBorders>
              <w:bottom w:val="single" w:sz="8" w:space="0" w:color="000000" w:themeColor="text1"/>
              <w:right w:val="none" w:sz="0" w:space="0" w:color="auto"/>
            </w:tcBorders>
            <w:shd w:val="clear" w:color="auto" w:fill="FFFFFF" w:themeFill="background1"/>
          </w:tcPr>
          <w:p w:rsidR="00C97903" w:rsidRDefault="00C97903" w:rsidP="00C97903">
            <w:pPr>
              <w:spacing w:after="120"/>
              <w:rPr>
                <w:b w:val="0"/>
                <w:sz w:val="20"/>
                <w:szCs w:val="20"/>
              </w:rPr>
            </w:pPr>
            <w:r>
              <w:rPr>
                <w:b w:val="0"/>
                <w:sz w:val="20"/>
                <w:szCs w:val="20"/>
                <w:u w:val="single"/>
              </w:rPr>
              <w:t>Musiktherapie</w:t>
            </w:r>
            <w:r>
              <w:rPr>
                <w:b w:val="0"/>
                <w:sz w:val="20"/>
                <w:szCs w:val="20"/>
              </w:rPr>
              <w:t xml:space="preserve"> nutzt Musik als Ausdrucksmöglichkeit innerer Erlebnisse. Bei der rezeptiven Musiktherapie dient das Hören von einem Tonträger abgespielter Musikstücke zur Auseinandersetzung mit der eigenen Persönlichkeit, bei der aktiven Musiktherapie geschieht dies durch Improvisation mit geeigneten Instrumenten. Dabei kommt neben der eigenen Stimme häufig Schlagwerk, Orff-Instrumentarium oder ein selbst hergestelltes Musikinstrument zum Einsatz.</w:t>
            </w:r>
          </w:p>
          <w:p w:rsidR="00C97903" w:rsidRDefault="00C97903" w:rsidP="00C97903">
            <w:pPr>
              <w:spacing w:after="120"/>
              <w:rPr>
                <w:b w:val="0"/>
                <w:sz w:val="20"/>
                <w:szCs w:val="20"/>
              </w:rPr>
            </w:pPr>
            <w:r w:rsidRPr="00AE1DFC">
              <w:rPr>
                <w:b w:val="0"/>
                <w:bCs w:val="0"/>
                <w:sz w:val="20"/>
                <w:szCs w:val="20"/>
                <w:u w:val="single"/>
              </w:rPr>
              <w:t>Kunsttherapie</w:t>
            </w:r>
            <w:r w:rsidRPr="00C97F70">
              <w:rPr>
                <w:sz w:val="20"/>
                <w:szCs w:val="20"/>
              </w:rPr>
              <w:t xml:space="preserve"> </w:t>
            </w:r>
            <w:r w:rsidRPr="00C97F70">
              <w:rPr>
                <w:b w:val="0"/>
                <w:sz w:val="20"/>
                <w:szCs w:val="20"/>
              </w:rPr>
              <w:t xml:space="preserve">ermöglicht innerhalb einer geschützten therapeutischen Beziehung vor allem einen nonverbalen Ausdruck sowie den bewussten Zugang zu vor- und unbewussten Inhalten durch Medien und Techniken der Bildenden Kunst. </w:t>
            </w:r>
            <w:r>
              <w:rPr>
                <w:b w:val="0"/>
                <w:sz w:val="20"/>
                <w:szCs w:val="20"/>
              </w:rPr>
              <w:t>Dies geschieht durch Einsatz einer Vielzahl von Materialen wie feste/ flüssige Farbe, Ton, Stein, Holz etc.</w:t>
            </w:r>
          </w:p>
          <w:p w:rsidR="00C97903" w:rsidRDefault="00C97903" w:rsidP="00C97903">
            <w:pPr>
              <w:spacing w:after="120"/>
              <w:rPr>
                <w:b w:val="0"/>
                <w:sz w:val="20"/>
                <w:szCs w:val="20"/>
              </w:rPr>
            </w:pPr>
            <w:r>
              <w:rPr>
                <w:b w:val="0"/>
                <w:sz w:val="20"/>
                <w:szCs w:val="20"/>
              </w:rPr>
              <w:t>Musik- und Kunsttherapie findet in den unterschiedlichen Bereichen und Phasen der Rehabilitation statt. Hieraus erklärt sich auch die Vielfalt der unterschiedlichen Übungsmethoden und –materialien. Sie kommt als Einzel- oder Kleingruppentherapie zum Einsatz.</w:t>
            </w:r>
          </w:p>
          <w:p w:rsidR="00C97903" w:rsidRPr="002C6E7A" w:rsidRDefault="00C97903" w:rsidP="00C97903">
            <w:pPr>
              <w:spacing w:after="120"/>
              <w:rPr>
                <w:b w:val="0"/>
                <w:bCs w:val="0"/>
                <w:sz w:val="20"/>
                <w:szCs w:val="20"/>
              </w:rPr>
            </w:pPr>
            <w:r>
              <w:rPr>
                <w:b w:val="0"/>
                <w:sz w:val="20"/>
                <w:szCs w:val="20"/>
              </w:rPr>
              <w:t xml:space="preserve">In dieser Zusammenstellung wird von Rehabilitanden ausgegangen, die aktiv an der Therapie teilnehmen können und eigenständig (bzw. mit Unterstützung) Instrumente und Kreativmaterial verwenden können. </w:t>
            </w:r>
            <w:r>
              <w:t> </w:t>
            </w:r>
          </w:p>
        </w:tc>
        <w:tc>
          <w:tcPr>
            <w:tcW w:w="4678" w:type="dxa"/>
            <w:tcBorders>
              <w:left w:val="none" w:sz="0" w:space="0" w:color="auto"/>
              <w:bottom w:val="single" w:sz="8" w:space="0" w:color="000000" w:themeColor="text1"/>
            </w:tcBorders>
            <w:shd w:val="clear" w:color="auto" w:fill="FFFFFF" w:themeFill="background1"/>
          </w:tcPr>
          <w:p w:rsidR="00C97903" w:rsidRDefault="00C97903" w:rsidP="00C97903">
            <w:pPr>
              <w:spacing w:after="120"/>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Der Rehabilitand findet sich in den mit entsprechen</w:t>
            </w:r>
            <w:r>
              <w:rPr>
                <w:sz w:val="20"/>
                <w:szCs w:val="20"/>
              </w:rPr>
              <w:softHyphen/>
              <w:t>den Materialien ausgestatteten Therapieräumlich</w:t>
            </w:r>
            <w:r>
              <w:rPr>
                <w:sz w:val="20"/>
                <w:szCs w:val="20"/>
              </w:rPr>
              <w:softHyphen/>
              <w:t xml:space="preserve">keiten ein. Im Rahmen der Gruppen-Anwendung kommen diese u.U. personenübergreifend zum Einsatz (Instrumente, Pinsel, Kleber, Scheren, etc.). </w:t>
            </w:r>
          </w:p>
          <w:p w:rsidR="00C97903" w:rsidRPr="002C6E7A" w:rsidRDefault="00C97903" w:rsidP="00C97903">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Denkbar ist -mit Einschränkungen- die Einzelbehand</w:t>
            </w:r>
            <w:r>
              <w:rPr>
                <w:sz w:val="20"/>
                <w:szCs w:val="20"/>
              </w:rPr>
              <w:softHyphen/>
              <w:t>lung des Rehabilitanden im eigenen Zimmer. Hierfür müssten entsprechende Arbeitsmaterialen vom Therapeuten mit in das Zimmer gebracht werden.</w:t>
            </w:r>
          </w:p>
        </w:tc>
      </w:tr>
      <w:tr w:rsidR="00C97903" w:rsidRPr="003B358B" w:rsidTr="00566397">
        <w:trPr>
          <w:cnfStyle w:val="000000010000" w:firstRow="0" w:lastRow="0" w:firstColumn="0" w:lastColumn="0" w:oddVBand="0" w:evenVBand="0" w:oddHBand="0" w:evenHBand="1"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9639" w:type="dxa"/>
            <w:gridSpan w:val="2"/>
            <w:shd w:val="clear" w:color="auto" w:fill="FFCCFF"/>
          </w:tcPr>
          <w:p w:rsidR="00C97903" w:rsidRPr="002F50C3" w:rsidRDefault="00C97903" w:rsidP="00C97903">
            <w:pPr>
              <w:pStyle w:val="Listenabsatz"/>
              <w:numPr>
                <w:ilvl w:val="0"/>
                <w:numId w:val="12"/>
              </w:numPr>
              <w:ind w:left="426"/>
            </w:pPr>
            <w:r>
              <w:t>Kontaminationen durch</w:t>
            </w:r>
            <w:r w:rsidRPr="002F50C3">
              <w:t xml:space="preserve"> Biostoffen</w:t>
            </w:r>
            <w:r>
              <w:t xml:space="preserve"> </w:t>
            </w:r>
            <w:r w:rsidRPr="002F50C3">
              <w:t>und</w:t>
            </w:r>
            <w:r w:rsidRPr="002F50C3">
              <w:rPr>
                <w:bCs w:val="0"/>
              </w:rPr>
              <w:t xml:space="preserve"> Übertragungswege</w:t>
            </w:r>
            <w:r w:rsidRPr="002F50C3">
              <w:t xml:space="preserve"> </w:t>
            </w:r>
          </w:p>
        </w:tc>
      </w:tr>
      <w:tr w:rsidR="00C97903" w:rsidRPr="003B358B" w:rsidTr="009242F4">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9639" w:type="dxa"/>
            <w:gridSpan w:val="2"/>
            <w:shd w:val="clear" w:color="auto" w:fill="FFFFFF" w:themeFill="background1"/>
          </w:tcPr>
          <w:p w:rsidR="00C97903" w:rsidRPr="002F50C3" w:rsidRDefault="00C97903" w:rsidP="00C97903">
            <w:pPr>
              <w:pStyle w:val="Listenabsatz"/>
              <w:numPr>
                <w:ilvl w:val="0"/>
                <w:numId w:val="13"/>
              </w:numPr>
              <w:ind w:left="426"/>
              <w:rPr>
                <w:bCs w:val="0"/>
                <w:sz w:val="21"/>
                <w:szCs w:val="21"/>
              </w:rPr>
            </w:pPr>
            <w:r w:rsidRPr="002F50C3">
              <w:rPr>
                <w:sz w:val="21"/>
                <w:szCs w:val="21"/>
              </w:rPr>
              <w:t xml:space="preserve">Welche Art von Biostoffen können </w:t>
            </w:r>
            <w:r>
              <w:rPr>
                <w:sz w:val="21"/>
                <w:szCs w:val="21"/>
              </w:rPr>
              <w:t xml:space="preserve">zusätzlich zu normaler Hautflora/ Schweiß </w:t>
            </w:r>
            <w:r w:rsidRPr="002F50C3">
              <w:rPr>
                <w:sz w:val="21"/>
                <w:szCs w:val="21"/>
              </w:rPr>
              <w:t>übertragen werden?</w:t>
            </w:r>
          </w:p>
        </w:tc>
      </w:tr>
      <w:tr w:rsidR="00C97903" w:rsidRPr="003B358B" w:rsidTr="009242F4">
        <w:trPr>
          <w:cnfStyle w:val="000000010000" w:firstRow="0" w:lastRow="0" w:firstColumn="0" w:lastColumn="0" w:oddVBand="0" w:evenVBand="0" w:oddHBand="0" w:evenHBand="1"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9639" w:type="dxa"/>
            <w:gridSpan w:val="2"/>
            <w:shd w:val="clear" w:color="auto" w:fill="FFFFFF" w:themeFill="background1"/>
          </w:tcPr>
          <w:p w:rsidR="00C97903" w:rsidRPr="003A5F79" w:rsidRDefault="00C97903" w:rsidP="00C97903">
            <w:pPr>
              <w:pStyle w:val="Listenabsatz"/>
              <w:numPr>
                <w:ilvl w:val="0"/>
                <w:numId w:val="14"/>
              </w:numPr>
              <w:ind w:left="709"/>
              <w:rPr>
                <w:sz w:val="20"/>
                <w:szCs w:val="20"/>
              </w:rPr>
            </w:pPr>
            <w:r>
              <w:rPr>
                <w:b w:val="0"/>
                <w:sz w:val="20"/>
                <w:szCs w:val="20"/>
              </w:rPr>
              <w:t>Speichel (bei Blasinstrumenten)</w:t>
            </w:r>
          </w:p>
          <w:p w:rsidR="00C97903" w:rsidRPr="002F50C3" w:rsidRDefault="00C97903" w:rsidP="00C97903">
            <w:pPr>
              <w:pStyle w:val="Listenabsatz"/>
              <w:numPr>
                <w:ilvl w:val="0"/>
                <w:numId w:val="14"/>
              </w:numPr>
              <w:ind w:left="709"/>
              <w:rPr>
                <w:sz w:val="21"/>
                <w:szCs w:val="21"/>
              </w:rPr>
            </w:pPr>
            <w:r>
              <w:rPr>
                <w:b w:val="0"/>
                <w:sz w:val="20"/>
                <w:szCs w:val="20"/>
              </w:rPr>
              <w:t>Blut (bei Verletzung im Rahmen der Kunsttherapie)</w:t>
            </w:r>
          </w:p>
        </w:tc>
      </w:tr>
      <w:tr w:rsidR="00C97903" w:rsidRPr="003B358B" w:rsidTr="009242F4">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961" w:type="dxa"/>
            <w:tcBorders>
              <w:right w:val="none" w:sz="0" w:space="0" w:color="auto"/>
            </w:tcBorders>
            <w:shd w:val="clear" w:color="auto" w:fill="FFFFFF" w:themeFill="background1"/>
          </w:tcPr>
          <w:p w:rsidR="00C97903" w:rsidRPr="002F50C3" w:rsidRDefault="00C97903" w:rsidP="00C97903">
            <w:pPr>
              <w:pStyle w:val="Listenabsatz"/>
              <w:numPr>
                <w:ilvl w:val="0"/>
                <w:numId w:val="13"/>
              </w:numPr>
              <w:ind w:left="426"/>
              <w:rPr>
                <w:sz w:val="21"/>
                <w:szCs w:val="21"/>
              </w:rPr>
            </w:pPr>
            <w:r w:rsidRPr="002F50C3">
              <w:rPr>
                <w:sz w:val="21"/>
                <w:szCs w:val="21"/>
              </w:rPr>
              <w:t xml:space="preserve">Wo ist </w:t>
            </w:r>
            <w:r>
              <w:rPr>
                <w:sz w:val="21"/>
                <w:szCs w:val="21"/>
              </w:rPr>
              <w:t xml:space="preserve">anwendungsspezifisch </w:t>
            </w:r>
            <w:r w:rsidRPr="002F50C3">
              <w:rPr>
                <w:sz w:val="21"/>
                <w:szCs w:val="21"/>
              </w:rPr>
              <w:t xml:space="preserve">mit </w:t>
            </w:r>
            <w:r>
              <w:rPr>
                <w:sz w:val="21"/>
                <w:szCs w:val="21"/>
              </w:rPr>
              <w:t xml:space="preserve">zusätzlicher </w:t>
            </w:r>
            <w:r w:rsidRPr="002F50C3">
              <w:rPr>
                <w:sz w:val="21"/>
                <w:szCs w:val="21"/>
              </w:rPr>
              <w:t>Kontaminationen von Biostoffen zu rechnen?</w:t>
            </w:r>
          </w:p>
        </w:tc>
        <w:tc>
          <w:tcPr>
            <w:tcW w:w="4678" w:type="dxa"/>
            <w:tcBorders>
              <w:left w:val="none" w:sz="0" w:space="0" w:color="auto"/>
            </w:tcBorders>
            <w:shd w:val="clear" w:color="auto" w:fill="FFFFFF" w:themeFill="background1"/>
          </w:tcPr>
          <w:p w:rsidR="00C97903" w:rsidRPr="002F50C3" w:rsidRDefault="00C97903" w:rsidP="00C97903">
            <w:pPr>
              <w:pStyle w:val="Listenabsatz"/>
              <w:numPr>
                <w:ilvl w:val="0"/>
                <w:numId w:val="13"/>
              </w:numPr>
              <w:ind w:left="459"/>
              <w:cnfStyle w:val="000000100000" w:firstRow="0" w:lastRow="0" w:firstColumn="0" w:lastColumn="0" w:oddVBand="0" w:evenVBand="0" w:oddHBand="1" w:evenHBand="0" w:firstRowFirstColumn="0" w:firstRowLastColumn="0" w:lastRowFirstColumn="0" w:lastRowLastColumn="0"/>
              <w:rPr>
                <w:b/>
                <w:bCs/>
                <w:sz w:val="21"/>
                <w:szCs w:val="21"/>
              </w:rPr>
            </w:pPr>
            <w:r w:rsidRPr="002F50C3">
              <w:rPr>
                <w:b/>
                <w:bCs/>
                <w:sz w:val="21"/>
                <w:szCs w:val="21"/>
              </w:rPr>
              <w:t xml:space="preserve">Wo sind mögliche </w:t>
            </w:r>
            <w:r>
              <w:rPr>
                <w:b/>
                <w:bCs/>
                <w:sz w:val="21"/>
                <w:szCs w:val="21"/>
              </w:rPr>
              <w:t xml:space="preserve">anwendungsspezifische </w:t>
            </w:r>
            <w:r w:rsidRPr="002F50C3">
              <w:rPr>
                <w:b/>
                <w:bCs/>
                <w:sz w:val="21"/>
                <w:szCs w:val="21"/>
              </w:rPr>
              <w:t>Übertragungswege für Biostoffe?</w:t>
            </w:r>
          </w:p>
        </w:tc>
      </w:tr>
      <w:tr w:rsidR="00C97903" w:rsidRPr="003B358B" w:rsidTr="009242F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1" w:type="dxa"/>
            <w:tcBorders>
              <w:right w:val="none" w:sz="0" w:space="0" w:color="auto"/>
            </w:tcBorders>
            <w:shd w:val="clear" w:color="auto" w:fill="FFFFFF" w:themeFill="background1"/>
          </w:tcPr>
          <w:p w:rsidR="00C97903" w:rsidRPr="002C6E7A" w:rsidRDefault="00C97903" w:rsidP="00C97903">
            <w:pPr>
              <w:pStyle w:val="Listenabsatz"/>
              <w:numPr>
                <w:ilvl w:val="0"/>
                <w:numId w:val="5"/>
              </w:numPr>
              <w:rPr>
                <w:b w:val="0"/>
                <w:sz w:val="20"/>
                <w:szCs w:val="20"/>
              </w:rPr>
            </w:pPr>
            <w:r>
              <w:rPr>
                <w:b w:val="0"/>
                <w:sz w:val="20"/>
                <w:szCs w:val="20"/>
              </w:rPr>
              <w:t>Musikinstrumente</w:t>
            </w:r>
          </w:p>
        </w:tc>
        <w:tc>
          <w:tcPr>
            <w:tcW w:w="4678" w:type="dxa"/>
            <w:tcBorders>
              <w:left w:val="none" w:sz="0" w:space="0" w:color="auto"/>
            </w:tcBorders>
            <w:shd w:val="clear" w:color="auto" w:fill="FFFFFF" w:themeFill="background1"/>
          </w:tcPr>
          <w:p w:rsidR="00C97903" w:rsidRPr="002C6E7A" w:rsidRDefault="00C97903" w:rsidP="00C97903">
            <w:pPr>
              <w:pStyle w:val="Listenabsatz"/>
              <w:numPr>
                <w:ilvl w:val="0"/>
                <w:numId w:val="5"/>
              </w:numPr>
              <w:cnfStyle w:val="000000010000" w:firstRow="0" w:lastRow="0" w:firstColumn="0" w:lastColumn="0" w:oddVBand="0" w:evenVBand="0" w:oddHBand="0" w:evenHBand="1" w:firstRowFirstColumn="0" w:firstRowLastColumn="0" w:lastRowFirstColumn="0" w:lastRowLastColumn="0"/>
              <w:rPr>
                <w:sz w:val="20"/>
                <w:szCs w:val="20"/>
              </w:rPr>
            </w:pPr>
            <w:r w:rsidRPr="002C6E7A">
              <w:rPr>
                <w:sz w:val="20"/>
                <w:szCs w:val="20"/>
              </w:rPr>
              <w:t>Hand- und Hautkontakt</w:t>
            </w:r>
            <w:r>
              <w:rPr>
                <w:sz w:val="20"/>
                <w:szCs w:val="20"/>
              </w:rPr>
              <w:t xml:space="preserve"> (z.B. Lippenkontakt)</w:t>
            </w:r>
            <w:r w:rsidRPr="002C6E7A">
              <w:rPr>
                <w:sz w:val="20"/>
                <w:szCs w:val="20"/>
              </w:rPr>
              <w:t xml:space="preserve"> des </w:t>
            </w:r>
            <w:r>
              <w:rPr>
                <w:sz w:val="20"/>
                <w:szCs w:val="20"/>
              </w:rPr>
              <w:t>Rehabilitand</w:t>
            </w:r>
            <w:r w:rsidRPr="002C6E7A">
              <w:rPr>
                <w:sz w:val="20"/>
                <w:szCs w:val="20"/>
              </w:rPr>
              <w:t xml:space="preserve">en </w:t>
            </w:r>
            <w:r>
              <w:rPr>
                <w:sz w:val="20"/>
                <w:szCs w:val="20"/>
              </w:rPr>
              <w:t>beim Anfassen und Verwenden</w:t>
            </w:r>
          </w:p>
        </w:tc>
      </w:tr>
      <w:tr w:rsidR="00C97903" w:rsidRPr="003B358B" w:rsidTr="009242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1" w:type="dxa"/>
            <w:tcBorders>
              <w:right w:val="none" w:sz="0" w:space="0" w:color="auto"/>
            </w:tcBorders>
            <w:shd w:val="clear" w:color="auto" w:fill="FFFFFF" w:themeFill="background1"/>
          </w:tcPr>
          <w:p w:rsidR="00C97903" w:rsidRPr="002C6E7A" w:rsidRDefault="00C97903" w:rsidP="00C97903">
            <w:pPr>
              <w:pStyle w:val="Listenabsatz"/>
              <w:numPr>
                <w:ilvl w:val="0"/>
                <w:numId w:val="5"/>
              </w:numPr>
              <w:rPr>
                <w:b w:val="0"/>
                <w:sz w:val="20"/>
                <w:szCs w:val="20"/>
              </w:rPr>
            </w:pPr>
            <w:r>
              <w:rPr>
                <w:b w:val="0"/>
                <w:sz w:val="20"/>
                <w:szCs w:val="20"/>
              </w:rPr>
              <w:t>Pinsel, Scheren und sonstiges Kreativmaterial</w:t>
            </w:r>
          </w:p>
        </w:tc>
        <w:tc>
          <w:tcPr>
            <w:tcW w:w="4678" w:type="dxa"/>
            <w:tcBorders>
              <w:left w:val="none" w:sz="0" w:space="0" w:color="auto"/>
            </w:tcBorders>
            <w:shd w:val="clear" w:color="auto" w:fill="FFFFFF" w:themeFill="background1"/>
          </w:tcPr>
          <w:p w:rsidR="00C97903" w:rsidRPr="002C6E7A" w:rsidRDefault="00C97903" w:rsidP="00C97903">
            <w:pPr>
              <w:pStyle w:val="Listenabsatz"/>
              <w:numPr>
                <w:ilvl w:val="0"/>
                <w:numId w:val="5"/>
              </w:numPr>
              <w:cnfStyle w:val="000000100000" w:firstRow="0" w:lastRow="0" w:firstColumn="0" w:lastColumn="0" w:oddVBand="0" w:evenVBand="0" w:oddHBand="1" w:evenHBand="0" w:firstRowFirstColumn="0" w:firstRowLastColumn="0" w:lastRowFirstColumn="0" w:lastRowLastColumn="0"/>
              <w:rPr>
                <w:sz w:val="20"/>
                <w:szCs w:val="20"/>
              </w:rPr>
            </w:pPr>
            <w:r w:rsidRPr="002C6E7A">
              <w:rPr>
                <w:sz w:val="20"/>
                <w:szCs w:val="20"/>
              </w:rPr>
              <w:t xml:space="preserve">Hand- und Hautkontakt des </w:t>
            </w:r>
            <w:r>
              <w:rPr>
                <w:sz w:val="20"/>
                <w:szCs w:val="20"/>
              </w:rPr>
              <w:t>Rehabilitand</w:t>
            </w:r>
            <w:r w:rsidRPr="002C6E7A">
              <w:rPr>
                <w:sz w:val="20"/>
                <w:szCs w:val="20"/>
              </w:rPr>
              <w:t xml:space="preserve">en </w:t>
            </w:r>
            <w:r>
              <w:rPr>
                <w:sz w:val="20"/>
                <w:szCs w:val="20"/>
              </w:rPr>
              <w:t>beim kreativen Arbeiten mit den Materialien</w:t>
            </w:r>
          </w:p>
        </w:tc>
      </w:tr>
      <w:tr w:rsidR="00C97903" w:rsidRPr="003B358B" w:rsidTr="009242F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1" w:type="dxa"/>
            <w:tcBorders>
              <w:right w:val="none" w:sz="0" w:space="0" w:color="auto"/>
            </w:tcBorders>
            <w:shd w:val="clear" w:color="auto" w:fill="FFFFFF" w:themeFill="background1"/>
          </w:tcPr>
          <w:p w:rsidR="00C97903" w:rsidRPr="002C6E7A" w:rsidRDefault="00C97903" w:rsidP="00C97903">
            <w:pPr>
              <w:pStyle w:val="Listenabsatz"/>
              <w:numPr>
                <w:ilvl w:val="0"/>
                <w:numId w:val="5"/>
              </w:numPr>
              <w:rPr>
                <w:sz w:val="20"/>
                <w:szCs w:val="20"/>
              </w:rPr>
            </w:pPr>
            <w:r w:rsidRPr="002C6E7A">
              <w:rPr>
                <w:b w:val="0"/>
                <w:sz w:val="20"/>
                <w:szCs w:val="20"/>
              </w:rPr>
              <w:t xml:space="preserve">Hände des Therapeuten </w:t>
            </w:r>
          </w:p>
        </w:tc>
        <w:tc>
          <w:tcPr>
            <w:tcW w:w="4678" w:type="dxa"/>
            <w:tcBorders>
              <w:left w:val="none" w:sz="0" w:space="0" w:color="auto"/>
            </w:tcBorders>
            <w:shd w:val="clear" w:color="auto" w:fill="FFFFFF" w:themeFill="background1"/>
          </w:tcPr>
          <w:p w:rsidR="00C97903" w:rsidRPr="002C6E7A" w:rsidRDefault="00C97903" w:rsidP="00C97903">
            <w:pPr>
              <w:pStyle w:val="Listenabsatz"/>
              <w:numPr>
                <w:ilvl w:val="0"/>
                <w:numId w:val="5"/>
              </w:numPr>
              <w:cnfStyle w:val="000000010000" w:firstRow="0" w:lastRow="0" w:firstColumn="0" w:lastColumn="0" w:oddVBand="0" w:evenVBand="0" w:oddHBand="0" w:evenHBand="1" w:firstRowFirstColumn="0" w:firstRowLastColumn="0" w:lastRowFirstColumn="0" w:lastRowLastColumn="0"/>
              <w:rPr>
                <w:sz w:val="20"/>
                <w:szCs w:val="20"/>
              </w:rPr>
            </w:pPr>
            <w:r w:rsidRPr="002C6E7A">
              <w:rPr>
                <w:sz w:val="20"/>
                <w:szCs w:val="20"/>
              </w:rPr>
              <w:t xml:space="preserve">Hilfestellung </w:t>
            </w:r>
            <w:r>
              <w:rPr>
                <w:sz w:val="20"/>
                <w:szCs w:val="20"/>
              </w:rPr>
              <w:t>und Anleitung beim kreativen Arbeiten des Rehabilitanden</w:t>
            </w:r>
          </w:p>
        </w:tc>
      </w:tr>
      <w:tr w:rsidR="00C97903" w:rsidRPr="008F359F" w:rsidTr="005663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9"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CCFF"/>
          </w:tcPr>
          <w:p w:rsidR="00C97903" w:rsidRPr="008F359F" w:rsidRDefault="00C97903" w:rsidP="00C97903">
            <w:pPr>
              <w:pStyle w:val="Listenabsatz"/>
              <w:numPr>
                <w:ilvl w:val="0"/>
                <w:numId w:val="12"/>
              </w:numPr>
              <w:ind w:left="426"/>
              <w:rPr>
                <w:color w:val="000000" w:themeColor="text1"/>
              </w:rPr>
            </w:pPr>
            <w:r>
              <w:rPr>
                <w:b w:val="0"/>
                <w:bCs w:val="0"/>
              </w:rPr>
              <w:br w:type="page"/>
            </w:r>
            <w:r w:rsidRPr="008F359F">
              <w:rPr>
                <w:color w:val="000000" w:themeColor="text1"/>
              </w:rPr>
              <w:t xml:space="preserve">Anwendungsspezifische Maßnahmen der </w:t>
            </w:r>
            <w:r w:rsidRPr="008F359F">
              <w:rPr>
                <w:color w:val="000000" w:themeColor="text1"/>
                <w:u w:val="single"/>
              </w:rPr>
              <w:t>Basishygiene</w:t>
            </w:r>
            <w:r w:rsidRPr="008F359F">
              <w:rPr>
                <w:color w:val="000000" w:themeColor="text1"/>
              </w:rPr>
              <w:t xml:space="preserve"> um Übertragungen von Biostoffen zu verhindern</w:t>
            </w:r>
          </w:p>
        </w:tc>
      </w:tr>
      <w:tr w:rsidR="00C97903" w:rsidRPr="003B358B" w:rsidTr="00566397">
        <w:trPr>
          <w:cnfStyle w:val="000000010000" w:firstRow="0" w:lastRow="0" w:firstColumn="0" w:lastColumn="0" w:oddVBand="0" w:evenVBand="0" w:oddHBand="0" w:evenHBand="1" w:firstRowFirstColumn="0" w:firstRowLastColumn="0" w:lastRowFirstColumn="0" w:lastRowLastColumn="0"/>
          <w:trHeight w:val="726"/>
        </w:trPr>
        <w:tc>
          <w:tcPr>
            <w:cnfStyle w:val="001000000000" w:firstRow="0" w:lastRow="0" w:firstColumn="1" w:lastColumn="0" w:oddVBand="0" w:evenVBand="0" w:oddHBand="0" w:evenHBand="0" w:firstRowFirstColumn="0" w:firstRowLastColumn="0" w:lastRowFirstColumn="0" w:lastRowLastColumn="0"/>
            <w:tcW w:w="9639" w:type="dxa"/>
            <w:gridSpan w:val="2"/>
            <w:tcBorders>
              <w:top w:val="single" w:sz="8" w:space="0" w:color="000000" w:themeColor="text1"/>
              <w:bottom w:val="single" w:sz="8" w:space="0" w:color="000000" w:themeColor="text1"/>
            </w:tcBorders>
            <w:shd w:val="clear" w:color="auto" w:fill="FFFFFF" w:themeFill="background1"/>
          </w:tcPr>
          <w:p w:rsidR="00C97903" w:rsidRPr="00414148" w:rsidRDefault="00C97903" w:rsidP="00C97903">
            <w:pPr>
              <w:pStyle w:val="Listenabsatz"/>
              <w:numPr>
                <w:ilvl w:val="0"/>
                <w:numId w:val="6"/>
              </w:numPr>
              <w:rPr>
                <w:rFonts w:eastAsiaTheme="majorEastAsia" w:cstheme="majorBidi"/>
                <w:color w:val="000000" w:themeColor="text1"/>
                <w:sz w:val="20"/>
                <w:szCs w:val="20"/>
              </w:rPr>
            </w:pPr>
            <w:r w:rsidRPr="002C6E7A">
              <w:rPr>
                <w:rFonts w:eastAsiaTheme="majorEastAsia" w:cstheme="majorBidi"/>
                <w:b w:val="0"/>
                <w:color w:val="000000" w:themeColor="text1"/>
                <w:sz w:val="20"/>
                <w:szCs w:val="20"/>
              </w:rPr>
              <w:t xml:space="preserve">Händedesinfektion des Therapeuten nach </w:t>
            </w:r>
            <w:r>
              <w:rPr>
                <w:rFonts w:eastAsiaTheme="majorEastAsia" w:cstheme="majorBidi"/>
                <w:b w:val="0"/>
                <w:color w:val="000000" w:themeColor="text1"/>
                <w:sz w:val="20"/>
                <w:szCs w:val="20"/>
              </w:rPr>
              <w:t>Rehabilitanden</w:t>
            </w:r>
            <w:r w:rsidRPr="002C6E7A">
              <w:rPr>
                <w:rFonts w:eastAsiaTheme="majorEastAsia" w:cstheme="majorBidi"/>
                <w:b w:val="0"/>
                <w:color w:val="000000" w:themeColor="text1"/>
                <w:sz w:val="20"/>
                <w:szCs w:val="20"/>
              </w:rPr>
              <w:t>kontakt</w:t>
            </w:r>
            <w:r>
              <w:rPr>
                <w:rFonts w:eastAsiaTheme="majorEastAsia" w:cstheme="majorBidi"/>
                <w:b w:val="0"/>
                <w:color w:val="000000" w:themeColor="text1"/>
                <w:sz w:val="20"/>
                <w:szCs w:val="20"/>
              </w:rPr>
              <w:t xml:space="preserve"> bei Wechsel von Person zu Person in den Gruppen</w:t>
            </w:r>
          </w:p>
          <w:p w:rsidR="00C97903" w:rsidRPr="003B358B" w:rsidRDefault="00C97903" w:rsidP="00C97903">
            <w:pPr>
              <w:pStyle w:val="Listenabsatz"/>
              <w:numPr>
                <w:ilvl w:val="0"/>
                <w:numId w:val="6"/>
              </w:numPr>
              <w:rPr>
                <w:rFonts w:eastAsiaTheme="majorEastAsia" w:cstheme="majorBidi"/>
                <w:color w:val="000000" w:themeColor="text1"/>
              </w:rPr>
            </w:pPr>
            <w:r>
              <w:rPr>
                <w:b w:val="0"/>
                <w:sz w:val="20"/>
                <w:szCs w:val="20"/>
              </w:rPr>
              <w:t>In der Musiktherapie keine Verwendung von personenübergreifenden Blasinstrumenten</w:t>
            </w:r>
          </w:p>
        </w:tc>
      </w:tr>
      <w:tr w:rsidR="00C97903" w:rsidRPr="008E3E5B" w:rsidTr="005663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9"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CCFF"/>
          </w:tcPr>
          <w:p w:rsidR="00C97903" w:rsidRPr="008E3E5B" w:rsidRDefault="00C97903" w:rsidP="00C97903">
            <w:pPr>
              <w:pStyle w:val="Listenabsatz"/>
              <w:numPr>
                <w:ilvl w:val="0"/>
                <w:numId w:val="12"/>
              </w:numPr>
              <w:ind w:left="426"/>
              <w:rPr>
                <w:color w:val="000000" w:themeColor="text1"/>
              </w:rPr>
            </w:pPr>
            <w:r>
              <w:lastRenderedPageBreak/>
              <w:br w:type="page"/>
            </w:r>
            <w:r w:rsidRPr="008E3E5B">
              <w:rPr>
                <w:color w:val="000000" w:themeColor="text1"/>
              </w:rPr>
              <w:t>Ergänzende und abweichende Vorgehensweisen bei MRE-Besiedlung (</w:t>
            </w:r>
            <w:r w:rsidRPr="008E3E5B">
              <w:rPr>
                <w:color w:val="000000" w:themeColor="text1"/>
                <w:u w:val="single"/>
              </w:rPr>
              <w:t>Interventionsmaßnahmen</w:t>
            </w:r>
            <w:r w:rsidRPr="008E3E5B">
              <w:rPr>
                <w:color w:val="000000" w:themeColor="text1"/>
              </w:rPr>
              <w:t>)</w:t>
            </w:r>
          </w:p>
        </w:tc>
      </w:tr>
      <w:tr w:rsidR="00C97903" w:rsidRPr="003B358B" w:rsidTr="0056639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9" w:type="dxa"/>
            <w:gridSpan w:val="2"/>
            <w:tcBorders>
              <w:top w:val="single" w:sz="8" w:space="0" w:color="000000" w:themeColor="text1"/>
              <w:bottom w:val="single" w:sz="8" w:space="0" w:color="000000" w:themeColor="text1"/>
            </w:tcBorders>
            <w:shd w:val="clear" w:color="auto" w:fill="FFFFFF" w:themeFill="background1"/>
          </w:tcPr>
          <w:p w:rsidR="00C97903" w:rsidRPr="00414148" w:rsidRDefault="00C97903" w:rsidP="00C97903">
            <w:pPr>
              <w:pStyle w:val="Listenabsatz"/>
              <w:numPr>
                <w:ilvl w:val="0"/>
                <w:numId w:val="10"/>
              </w:numPr>
              <w:rPr>
                <w:sz w:val="20"/>
                <w:szCs w:val="20"/>
              </w:rPr>
            </w:pPr>
            <w:r w:rsidRPr="002C6E7A">
              <w:rPr>
                <w:b w:val="0"/>
                <w:sz w:val="20"/>
                <w:szCs w:val="20"/>
              </w:rPr>
              <w:t xml:space="preserve">Auswahl der </w:t>
            </w:r>
            <w:r>
              <w:rPr>
                <w:b w:val="0"/>
                <w:sz w:val="20"/>
                <w:szCs w:val="20"/>
              </w:rPr>
              <w:t>Kreativmaterialien</w:t>
            </w:r>
            <w:r w:rsidRPr="002C6E7A">
              <w:rPr>
                <w:b w:val="0"/>
                <w:sz w:val="20"/>
                <w:szCs w:val="20"/>
              </w:rPr>
              <w:t xml:space="preserve"> ist dahingehend anzupassen, dass diese desinfizierbar</w:t>
            </w:r>
            <w:r>
              <w:rPr>
                <w:b w:val="0"/>
                <w:sz w:val="20"/>
                <w:szCs w:val="20"/>
              </w:rPr>
              <w:t xml:space="preserve"> (Scheren etc.) sind. Alternativ: Einmalprodukte bzw. personenbezogene Geräte verwenden (z.B. eigenes Pinselset) </w:t>
            </w:r>
          </w:p>
          <w:p w:rsidR="00C97903" w:rsidRPr="00FF1726" w:rsidRDefault="00C97903" w:rsidP="00C97903">
            <w:pPr>
              <w:pStyle w:val="Listenabsatz"/>
              <w:numPr>
                <w:ilvl w:val="0"/>
                <w:numId w:val="10"/>
              </w:numPr>
              <w:rPr>
                <w:sz w:val="20"/>
                <w:szCs w:val="20"/>
              </w:rPr>
            </w:pPr>
            <w:r>
              <w:rPr>
                <w:b w:val="0"/>
                <w:sz w:val="20"/>
                <w:szCs w:val="20"/>
              </w:rPr>
              <w:t xml:space="preserve">Kreativtherapien kommen in diesem Fall nur als Einzeltherapie in Frage; </w:t>
            </w:r>
            <w:r w:rsidRPr="008F359F">
              <w:rPr>
                <w:sz w:val="20"/>
                <w:szCs w:val="20"/>
              </w:rPr>
              <w:t>keine Teilnahme an Gruppentherapien</w:t>
            </w:r>
          </w:p>
        </w:tc>
      </w:tr>
      <w:tr w:rsidR="00C97903" w:rsidRPr="003B358B" w:rsidTr="005663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9" w:type="dxa"/>
            <w:gridSpan w:val="2"/>
            <w:shd w:val="clear" w:color="auto" w:fill="FFCCFF"/>
          </w:tcPr>
          <w:p w:rsidR="00C97903" w:rsidRPr="003B358B" w:rsidRDefault="00C97903" w:rsidP="00C97903">
            <w:pPr>
              <w:pStyle w:val="Listenabsatz"/>
              <w:numPr>
                <w:ilvl w:val="0"/>
                <w:numId w:val="12"/>
              </w:numPr>
              <w:ind w:left="426"/>
            </w:pPr>
            <w:r w:rsidRPr="003B358B">
              <w:t>Gesonderte Situationen</w:t>
            </w:r>
            <w:r>
              <w:t xml:space="preserve"> und Ergänzendes</w:t>
            </w:r>
          </w:p>
        </w:tc>
      </w:tr>
      <w:tr w:rsidR="00C97903" w:rsidRPr="003B358B" w:rsidTr="0056639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9" w:type="dxa"/>
            <w:gridSpan w:val="2"/>
            <w:tcBorders>
              <w:bottom w:val="single" w:sz="8" w:space="0" w:color="000000" w:themeColor="text1"/>
            </w:tcBorders>
            <w:shd w:val="clear" w:color="auto" w:fill="FFFFFF" w:themeFill="background1"/>
          </w:tcPr>
          <w:p w:rsidR="00C97903" w:rsidRPr="007D5AB6" w:rsidRDefault="00C97903" w:rsidP="00C97903">
            <w:pPr>
              <w:pStyle w:val="Listenabsatz"/>
              <w:numPr>
                <w:ilvl w:val="0"/>
                <w:numId w:val="10"/>
              </w:numPr>
              <w:rPr>
                <w:b w:val="0"/>
              </w:rPr>
            </w:pPr>
            <w:r w:rsidRPr="003A5F79">
              <w:rPr>
                <w:b w:val="0"/>
                <w:sz w:val="20"/>
                <w:szCs w:val="20"/>
              </w:rPr>
              <w:t>Tanztherapie als weitere Form der Gestaltungstherapie: hier kann analog „</w:t>
            </w:r>
            <w:r w:rsidRPr="008F359F">
              <w:rPr>
                <w:b w:val="0"/>
                <w:color w:val="0000FF"/>
                <w:sz w:val="20"/>
                <w:szCs w:val="20"/>
                <w:u w:val="single"/>
              </w:rPr>
              <w:t>RS-Physiotherapie(Ergotherapie)-Gruppentherapie</w:t>
            </w:r>
            <w:r w:rsidRPr="003A5F79">
              <w:rPr>
                <w:b w:val="0"/>
                <w:sz w:val="20"/>
                <w:szCs w:val="20"/>
              </w:rPr>
              <w:t>“ verfahren werden</w:t>
            </w:r>
          </w:p>
        </w:tc>
      </w:tr>
      <w:tr w:rsidR="00C97903" w:rsidRPr="003B358B" w:rsidTr="005663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9"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CCFF"/>
          </w:tcPr>
          <w:p w:rsidR="00C97903" w:rsidRDefault="00C97903" w:rsidP="00C97903">
            <w:pPr>
              <w:pStyle w:val="Listenabsatz"/>
              <w:numPr>
                <w:ilvl w:val="0"/>
                <w:numId w:val="12"/>
              </w:numPr>
              <w:ind w:left="426"/>
            </w:pPr>
            <w:r>
              <w:br w:type="page"/>
            </w:r>
            <w:r w:rsidRPr="009242F4">
              <w:rPr>
                <w:color w:val="000000" w:themeColor="text1"/>
              </w:rPr>
              <w:t>Quellen</w:t>
            </w:r>
          </w:p>
        </w:tc>
      </w:tr>
      <w:tr w:rsidR="00C97903" w:rsidRPr="003B358B" w:rsidTr="0095731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9" w:type="dxa"/>
            <w:gridSpan w:val="2"/>
            <w:tcBorders>
              <w:top w:val="single" w:sz="8" w:space="0" w:color="000000" w:themeColor="text1"/>
            </w:tcBorders>
            <w:shd w:val="clear" w:color="auto" w:fill="FFFFFF" w:themeFill="background1"/>
          </w:tcPr>
          <w:p w:rsidR="00C97903" w:rsidRPr="00180A5C" w:rsidRDefault="00C97903" w:rsidP="00C97903">
            <w:pPr>
              <w:pStyle w:val="Listenabsatz"/>
              <w:numPr>
                <w:ilvl w:val="0"/>
                <w:numId w:val="10"/>
              </w:numPr>
              <w:rPr>
                <w:b w:val="0"/>
              </w:rPr>
            </w:pPr>
            <w:r>
              <w:rPr>
                <w:b w:val="0"/>
                <w:sz w:val="20"/>
                <w:szCs w:val="20"/>
              </w:rPr>
              <w:t xml:space="preserve">Ggf. sind </w:t>
            </w:r>
            <w:r w:rsidRPr="002C6E7A">
              <w:rPr>
                <w:b w:val="0"/>
                <w:sz w:val="20"/>
                <w:szCs w:val="20"/>
              </w:rPr>
              <w:t xml:space="preserve">Herstellerangaben zu den </w:t>
            </w:r>
            <w:r>
              <w:rPr>
                <w:b w:val="0"/>
                <w:sz w:val="20"/>
                <w:szCs w:val="20"/>
              </w:rPr>
              <w:t xml:space="preserve">Materialien der Kreativtherapie </w:t>
            </w:r>
            <w:r w:rsidRPr="002C6E7A">
              <w:rPr>
                <w:b w:val="0"/>
                <w:sz w:val="20"/>
                <w:szCs w:val="20"/>
              </w:rPr>
              <w:t>zu beachten</w:t>
            </w:r>
            <w:bookmarkStart w:id="0" w:name="_GoBack"/>
            <w:bookmarkEnd w:id="0"/>
          </w:p>
        </w:tc>
      </w:tr>
    </w:tbl>
    <w:p w:rsidR="00BD2737" w:rsidRDefault="00BD2737"/>
    <w:sectPr w:rsidR="00BD2737" w:rsidSect="008B6B26">
      <w:headerReference w:type="default" r:id="rId7"/>
      <w:pgSz w:w="11906" w:h="16838"/>
      <w:pgMar w:top="720" w:right="720" w:bottom="720"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761C" w:rsidRDefault="00A7761C" w:rsidP="00A7761C">
      <w:pPr>
        <w:spacing w:after="0" w:line="240" w:lineRule="auto"/>
      </w:pPr>
      <w:r>
        <w:separator/>
      </w:r>
    </w:p>
  </w:endnote>
  <w:endnote w:type="continuationSeparator" w:id="0">
    <w:p w:rsidR="00A7761C" w:rsidRDefault="00A7761C" w:rsidP="00A776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761C" w:rsidRDefault="00A7761C" w:rsidP="00A7761C">
      <w:pPr>
        <w:spacing w:after="0" w:line="240" w:lineRule="auto"/>
      </w:pPr>
      <w:r>
        <w:separator/>
      </w:r>
    </w:p>
  </w:footnote>
  <w:footnote w:type="continuationSeparator" w:id="0">
    <w:p w:rsidR="00A7761C" w:rsidRDefault="00A7761C" w:rsidP="00A776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761C" w:rsidRDefault="00A7761C" w:rsidP="00A7761C">
    <w:pPr>
      <w:pStyle w:val="Kopfzeile"/>
    </w:pPr>
  </w:p>
  <w:tbl>
    <w:tblPr>
      <w:tblStyle w:val="Tabellenraster"/>
      <w:tblW w:w="9893" w:type="dxa"/>
      <w:tblLook w:val="04A0" w:firstRow="1" w:lastRow="0" w:firstColumn="1" w:lastColumn="0" w:noHBand="0" w:noVBand="1"/>
    </w:tblPr>
    <w:tblGrid>
      <w:gridCol w:w="1364"/>
      <w:gridCol w:w="1721"/>
      <w:gridCol w:w="5245"/>
      <w:gridCol w:w="1563"/>
    </w:tblGrid>
    <w:tr w:rsidR="00A7761C" w:rsidTr="002F7E7B">
      <w:tc>
        <w:tcPr>
          <w:tcW w:w="1364" w:type="dxa"/>
          <w:tcBorders>
            <w:top w:val="nil"/>
            <w:left w:val="nil"/>
            <w:bottom w:val="nil"/>
            <w:right w:val="single" w:sz="4" w:space="0" w:color="auto"/>
          </w:tcBorders>
        </w:tcPr>
        <w:p w:rsidR="00A7761C" w:rsidRDefault="00A7761C" w:rsidP="00A7761C">
          <w:pPr>
            <w:pStyle w:val="Kopfzeile"/>
          </w:pPr>
          <w:r w:rsidRPr="00761B44">
            <w:t xml:space="preserve"> </w:t>
          </w:r>
          <w:r>
            <w:rPr>
              <w:noProof/>
              <w:lang w:eastAsia="de-DE"/>
            </w:rPr>
            <w:drawing>
              <wp:inline distT="0" distB="0" distL="0" distR="0" wp14:anchorId="0F552957" wp14:editId="511FB616">
                <wp:extent cx="612000" cy="6120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00" cy="612000"/>
                        </a:xfrm>
                        <a:prstGeom prst="rect">
                          <a:avLst/>
                        </a:prstGeom>
                        <a:noFill/>
                        <a:ln>
                          <a:noFill/>
                        </a:ln>
                      </pic:spPr>
                    </pic:pic>
                  </a:graphicData>
                </a:graphic>
              </wp:inline>
            </w:drawing>
          </w:r>
        </w:p>
      </w:tc>
      <w:tc>
        <w:tcPr>
          <w:tcW w:w="1721" w:type="dxa"/>
          <w:tcBorders>
            <w:left w:val="single" w:sz="4" w:space="0" w:color="auto"/>
          </w:tcBorders>
        </w:tcPr>
        <w:p w:rsidR="00A7761C" w:rsidRPr="007D6302" w:rsidRDefault="00A7761C" w:rsidP="00A7761C">
          <w:pPr>
            <w:pStyle w:val="Kopfzeile"/>
            <w:spacing w:before="240"/>
            <w:rPr>
              <w:sz w:val="24"/>
              <w:szCs w:val="24"/>
            </w:rPr>
          </w:pPr>
        </w:p>
      </w:tc>
      <w:tc>
        <w:tcPr>
          <w:tcW w:w="5245" w:type="dxa"/>
          <w:tcBorders>
            <w:left w:val="single" w:sz="4" w:space="0" w:color="auto"/>
          </w:tcBorders>
        </w:tcPr>
        <w:p w:rsidR="00A7761C" w:rsidRPr="007D6302" w:rsidRDefault="00A7761C" w:rsidP="00C97903">
          <w:pPr>
            <w:pStyle w:val="Kopfzeile"/>
            <w:spacing w:before="240"/>
            <w:jc w:val="center"/>
            <w:rPr>
              <w:sz w:val="24"/>
              <w:szCs w:val="24"/>
            </w:rPr>
          </w:pPr>
          <w:r>
            <w:rPr>
              <w:sz w:val="24"/>
              <w:szCs w:val="24"/>
            </w:rPr>
            <w:t>Reha-Steckbrief</w:t>
          </w:r>
          <w:r>
            <w:rPr>
              <w:sz w:val="24"/>
              <w:szCs w:val="24"/>
            </w:rPr>
            <w:br/>
          </w:r>
          <w:r w:rsidR="00C97903">
            <w:rPr>
              <w:sz w:val="24"/>
              <w:szCs w:val="24"/>
            </w:rPr>
            <w:t>Kreativtherapie</w:t>
          </w:r>
        </w:p>
      </w:tc>
      <w:tc>
        <w:tcPr>
          <w:tcW w:w="1563" w:type="dxa"/>
        </w:tcPr>
        <w:p w:rsidR="00A7761C" w:rsidRDefault="00A7761C" w:rsidP="00A7761C">
          <w:pPr>
            <w:pStyle w:val="Kopfzeile"/>
            <w:spacing w:before="240"/>
            <w:jc w:val="center"/>
          </w:pPr>
          <w:r>
            <w:t xml:space="preserve">Seite </w:t>
          </w:r>
          <w:r>
            <w:fldChar w:fldCharType="begin"/>
          </w:r>
          <w:r>
            <w:instrText>PAGE   \* MERGEFORMAT</w:instrText>
          </w:r>
          <w:r>
            <w:fldChar w:fldCharType="separate"/>
          </w:r>
          <w:r w:rsidR="00C97903">
            <w:rPr>
              <w:noProof/>
            </w:rPr>
            <w:t>1</w:t>
          </w:r>
          <w:r>
            <w:fldChar w:fldCharType="end"/>
          </w:r>
          <w:r>
            <w:t xml:space="preserve"> / </w:t>
          </w:r>
          <w:r w:rsidR="00C97903">
            <w:fldChar w:fldCharType="begin"/>
          </w:r>
          <w:r w:rsidR="00C97903">
            <w:instrText xml:space="preserve"> NUMPAGES  \* Arabic  \* MERGEFORMAT </w:instrText>
          </w:r>
          <w:r w:rsidR="00C97903">
            <w:fldChar w:fldCharType="separate"/>
          </w:r>
          <w:r w:rsidR="00C97903">
            <w:rPr>
              <w:noProof/>
            </w:rPr>
            <w:t>2</w:t>
          </w:r>
          <w:r w:rsidR="00C97903">
            <w:rPr>
              <w:noProof/>
            </w:rPr>
            <w:fldChar w:fldCharType="end"/>
          </w:r>
        </w:p>
      </w:tc>
    </w:tr>
  </w:tbl>
  <w:p w:rsidR="00A7761C" w:rsidRDefault="00A7761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A5AA5"/>
    <w:multiLevelType w:val="hybridMultilevel"/>
    <w:tmpl w:val="D81C5F8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A1F6C43"/>
    <w:multiLevelType w:val="hybridMultilevel"/>
    <w:tmpl w:val="07D00700"/>
    <w:lvl w:ilvl="0" w:tplc="0896D544">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76D2D77"/>
    <w:multiLevelType w:val="hybridMultilevel"/>
    <w:tmpl w:val="D81C5F8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3B0E4A66"/>
    <w:multiLevelType w:val="hybridMultilevel"/>
    <w:tmpl w:val="21066642"/>
    <w:lvl w:ilvl="0" w:tplc="55F05908">
      <w:start w:val="1"/>
      <w:numFmt w:val="decimal"/>
      <w:lvlText w:val="%1."/>
      <w:lvlJc w:val="left"/>
      <w:pPr>
        <w:ind w:left="720" w:hanging="360"/>
      </w:pPr>
      <w:rPr>
        <w:rFonts w:hint="default"/>
        <w:color w:val="000000" w:themeColor="text1"/>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3BC249CB"/>
    <w:multiLevelType w:val="hybridMultilevel"/>
    <w:tmpl w:val="66DC621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31B2709"/>
    <w:multiLevelType w:val="hybridMultilevel"/>
    <w:tmpl w:val="DE6688AA"/>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444B284F"/>
    <w:multiLevelType w:val="hybridMultilevel"/>
    <w:tmpl w:val="16D8A6A0"/>
    <w:lvl w:ilvl="0" w:tplc="F3F4789A">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7" w15:restartNumberingAfterBreak="0">
    <w:nsid w:val="55171870"/>
    <w:multiLevelType w:val="hybridMultilevel"/>
    <w:tmpl w:val="7390D8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5E03D89"/>
    <w:multiLevelType w:val="hybridMultilevel"/>
    <w:tmpl w:val="16D8A6A0"/>
    <w:lvl w:ilvl="0" w:tplc="F3F4789A">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9" w15:restartNumberingAfterBreak="0">
    <w:nsid w:val="5A3741F4"/>
    <w:multiLevelType w:val="hybridMultilevel"/>
    <w:tmpl w:val="2F96E11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B9E6821"/>
    <w:multiLevelType w:val="hybridMultilevel"/>
    <w:tmpl w:val="F0B28EF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1175A37"/>
    <w:multiLevelType w:val="hybridMultilevel"/>
    <w:tmpl w:val="632856E6"/>
    <w:lvl w:ilvl="0" w:tplc="8F762A90">
      <w:start w:val="1"/>
      <w:numFmt w:val="decimal"/>
      <w:lvlText w:val="%1)"/>
      <w:lvlJc w:val="left"/>
      <w:pPr>
        <w:ind w:left="720" w:hanging="360"/>
      </w:pPr>
      <w:rPr>
        <w:rFonts w:asciiTheme="majorHAnsi" w:eastAsiaTheme="majorEastAsia" w:hAnsiTheme="majorHAnsi" w:cstheme="majorBidi" w:hint="default"/>
        <w:color w:val="000000" w:themeColor="text1"/>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7249262F"/>
    <w:multiLevelType w:val="hybridMultilevel"/>
    <w:tmpl w:val="42B6980E"/>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3" w15:restartNumberingAfterBreak="0">
    <w:nsid w:val="73FC49F7"/>
    <w:multiLevelType w:val="hybridMultilevel"/>
    <w:tmpl w:val="990A8EE6"/>
    <w:lvl w:ilvl="0" w:tplc="04070001">
      <w:start w:val="1"/>
      <w:numFmt w:val="bullet"/>
      <w:lvlText w:val=""/>
      <w:lvlJc w:val="left"/>
      <w:pPr>
        <w:ind w:left="1800" w:hanging="360"/>
      </w:pPr>
      <w:rPr>
        <w:rFonts w:ascii="Symbol" w:hAnsi="Symbol" w:hint="default"/>
      </w:rPr>
    </w:lvl>
    <w:lvl w:ilvl="1" w:tplc="04070003" w:tentative="1">
      <w:start w:val="1"/>
      <w:numFmt w:val="bullet"/>
      <w:lvlText w:val="o"/>
      <w:lvlJc w:val="left"/>
      <w:pPr>
        <w:ind w:left="2520" w:hanging="360"/>
      </w:pPr>
      <w:rPr>
        <w:rFonts w:ascii="Courier New" w:hAnsi="Courier New" w:cs="Courier New" w:hint="default"/>
      </w:rPr>
    </w:lvl>
    <w:lvl w:ilvl="2" w:tplc="04070005" w:tentative="1">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cs="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cs="Courier New" w:hint="default"/>
      </w:rPr>
    </w:lvl>
    <w:lvl w:ilvl="8" w:tplc="04070005" w:tentative="1">
      <w:start w:val="1"/>
      <w:numFmt w:val="bullet"/>
      <w:lvlText w:val=""/>
      <w:lvlJc w:val="left"/>
      <w:pPr>
        <w:ind w:left="7560" w:hanging="360"/>
      </w:pPr>
      <w:rPr>
        <w:rFonts w:ascii="Wingdings" w:hAnsi="Wingdings" w:hint="default"/>
      </w:rPr>
    </w:lvl>
  </w:abstractNum>
  <w:abstractNum w:abstractNumId="14" w15:restartNumberingAfterBreak="0">
    <w:nsid w:val="75FA5AB3"/>
    <w:multiLevelType w:val="hybridMultilevel"/>
    <w:tmpl w:val="B0CABC9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78D2667D"/>
    <w:multiLevelType w:val="hybridMultilevel"/>
    <w:tmpl w:val="C0C25D4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7E833E30"/>
    <w:multiLevelType w:val="hybridMultilevel"/>
    <w:tmpl w:val="F9606BD4"/>
    <w:lvl w:ilvl="0" w:tplc="2A4E7FC4">
      <w:start w:val="1"/>
      <w:numFmt w:val="lowerLetter"/>
      <w:lvlText w:val="%1."/>
      <w:lvlJc w:val="left"/>
      <w:pPr>
        <w:ind w:left="786" w:hanging="360"/>
      </w:pPr>
      <w:rPr>
        <w:rFonts w:hint="default"/>
      </w:rPr>
    </w:lvl>
    <w:lvl w:ilvl="1" w:tplc="04070019" w:tentative="1">
      <w:start w:val="1"/>
      <w:numFmt w:val="lowerLetter"/>
      <w:lvlText w:val="%2."/>
      <w:lvlJc w:val="left"/>
      <w:pPr>
        <w:ind w:left="1506" w:hanging="360"/>
      </w:pPr>
    </w:lvl>
    <w:lvl w:ilvl="2" w:tplc="0407001B" w:tentative="1">
      <w:start w:val="1"/>
      <w:numFmt w:val="lowerRoman"/>
      <w:lvlText w:val="%3."/>
      <w:lvlJc w:val="right"/>
      <w:pPr>
        <w:ind w:left="2226" w:hanging="180"/>
      </w:pPr>
    </w:lvl>
    <w:lvl w:ilvl="3" w:tplc="0407000F" w:tentative="1">
      <w:start w:val="1"/>
      <w:numFmt w:val="decimal"/>
      <w:lvlText w:val="%4."/>
      <w:lvlJc w:val="left"/>
      <w:pPr>
        <w:ind w:left="2946" w:hanging="360"/>
      </w:pPr>
    </w:lvl>
    <w:lvl w:ilvl="4" w:tplc="04070019" w:tentative="1">
      <w:start w:val="1"/>
      <w:numFmt w:val="lowerLetter"/>
      <w:lvlText w:val="%5."/>
      <w:lvlJc w:val="left"/>
      <w:pPr>
        <w:ind w:left="3666" w:hanging="360"/>
      </w:pPr>
    </w:lvl>
    <w:lvl w:ilvl="5" w:tplc="0407001B" w:tentative="1">
      <w:start w:val="1"/>
      <w:numFmt w:val="lowerRoman"/>
      <w:lvlText w:val="%6."/>
      <w:lvlJc w:val="right"/>
      <w:pPr>
        <w:ind w:left="4386" w:hanging="180"/>
      </w:pPr>
    </w:lvl>
    <w:lvl w:ilvl="6" w:tplc="0407000F" w:tentative="1">
      <w:start w:val="1"/>
      <w:numFmt w:val="decimal"/>
      <w:lvlText w:val="%7."/>
      <w:lvlJc w:val="left"/>
      <w:pPr>
        <w:ind w:left="5106" w:hanging="360"/>
      </w:pPr>
    </w:lvl>
    <w:lvl w:ilvl="7" w:tplc="04070019" w:tentative="1">
      <w:start w:val="1"/>
      <w:numFmt w:val="lowerLetter"/>
      <w:lvlText w:val="%8."/>
      <w:lvlJc w:val="left"/>
      <w:pPr>
        <w:ind w:left="5826" w:hanging="360"/>
      </w:pPr>
    </w:lvl>
    <w:lvl w:ilvl="8" w:tplc="0407001B" w:tentative="1">
      <w:start w:val="1"/>
      <w:numFmt w:val="lowerRoman"/>
      <w:lvlText w:val="%9."/>
      <w:lvlJc w:val="right"/>
      <w:pPr>
        <w:ind w:left="6546" w:hanging="180"/>
      </w:pPr>
    </w:lvl>
  </w:abstractNum>
  <w:num w:numId="1">
    <w:abstractNumId w:val="2"/>
  </w:num>
  <w:num w:numId="2">
    <w:abstractNumId w:val="5"/>
  </w:num>
  <w:num w:numId="3">
    <w:abstractNumId w:val="0"/>
  </w:num>
  <w:num w:numId="4">
    <w:abstractNumId w:val="14"/>
  </w:num>
  <w:num w:numId="5">
    <w:abstractNumId w:val="4"/>
  </w:num>
  <w:num w:numId="6">
    <w:abstractNumId w:val="10"/>
  </w:num>
  <w:num w:numId="7">
    <w:abstractNumId w:val="11"/>
  </w:num>
  <w:num w:numId="8">
    <w:abstractNumId w:val="7"/>
  </w:num>
  <w:num w:numId="9">
    <w:abstractNumId w:val="1"/>
  </w:num>
  <w:num w:numId="10">
    <w:abstractNumId w:val="9"/>
  </w:num>
  <w:num w:numId="11">
    <w:abstractNumId w:val="12"/>
  </w:num>
  <w:num w:numId="12">
    <w:abstractNumId w:val="3"/>
  </w:num>
  <w:num w:numId="13">
    <w:abstractNumId w:val="8"/>
  </w:num>
  <w:num w:numId="14">
    <w:abstractNumId w:val="13"/>
  </w:num>
  <w:num w:numId="15">
    <w:abstractNumId w:val="16"/>
  </w:num>
  <w:num w:numId="16">
    <w:abstractNumId w:val="15"/>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0542"/>
    <w:rsid w:val="00074D1A"/>
    <w:rsid w:val="00091E7B"/>
    <w:rsid w:val="000D0313"/>
    <w:rsid w:val="000E0542"/>
    <w:rsid w:val="00180A5C"/>
    <w:rsid w:val="001D0440"/>
    <w:rsid w:val="001D2136"/>
    <w:rsid w:val="00207503"/>
    <w:rsid w:val="0021637D"/>
    <w:rsid w:val="002B3F44"/>
    <w:rsid w:val="002F1AE1"/>
    <w:rsid w:val="002F50C3"/>
    <w:rsid w:val="003148E4"/>
    <w:rsid w:val="003169FF"/>
    <w:rsid w:val="003414BA"/>
    <w:rsid w:val="003B358B"/>
    <w:rsid w:val="003C7844"/>
    <w:rsid w:val="00430729"/>
    <w:rsid w:val="00451CD8"/>
    <w:rsid w:val="00471438"/>
    <w:rsid w:val="004876E2"/>
    <w:rsid w:val="0051317A"/>
    <w:rsid w:val="005263FF"/>
    <w:rsid w:val="0056149A"/>
    <w:rsid w:val="00566397"/>
    <w:rsid w:val="005A00B3"/>
    <w:rsid w:val="005B0D28"/>
    <w:rsid w:val="00617624"/>
    <w:rsid w:val="00635630"/>
    <w:rsid w:val="00696D8C"/>
    <w:rsid w:val="006C6A45"/>
    <w:rsid w:val="006E1805"/>
    <w:rsid w:val="006E4641"/>
    <w:rsid w:val="00712616"/>
    <w:rsid w:val="007924E7"/>
    <w:rsid w:val="007D5AB6"/>
    <w:rsid w:val="007E6118"/>
    <w:rsid w:val="00833FA9"/>
    <w:rsid w:val="008A18F7"/>
    <w:rsid w:val="008B6131"/>
    <w:rsid w:val="008B6B26"/>
    <w:rsid w:val="008E3E5B"/>
    <w:rsid w:val="008F1F8E"/>
    <w:rsid w:val="008F359F"/>
    <w:rsid w:val="009242F4"/>
    <w:rsid w:val="0095731B"/>
    <w:rsid w:val="00966C55"/>
    <w:rsid w:val="009749DA"/>
    <w:rsid w:val="009D3437"/>
    <w:rsid w:val="009E77FF"/>
    <w:rsid w:val="00A44E6E"/>
    <w:rsid w:val="00A7761C"/>
    <w:rsid w:val="00A823F1"/>
    <w:rsid w:val="00B2101D"/>
    <w:rsid w:val="00BD2737"/>
    <w:rsid w:val="00BE0656"/>
    <w:rsid w:val="00BE0ACC"/>
    <w:rsid w:val="00C14245"/>
    <w:rsid w:val="00C76678"/>
    <w:rsid w:val="00C97903"/>
    <w:rsid w:val="00CC0681"/>
    <w:rsid w:val="00CC1B82"/>
    <w:rsid w:val="00CE72E7"/>
    <w:rsid w:val="00D67CE7"/>
    <w:rsid w:val="00D71B99"/>
    <w:rsid w:val="00D73EB5"/>
    <w:rsid w:val="00E00A34"/>
    <w:rsid w:val="00E530EA"/>
    <w:rsid w:val="00ED1AC2"/>
    <w:rsid w:val="00EE6D7C"/>
    <w:rsid w:val="00F001B8"/>
    <w:rsid w:val="00F2453F"/>
    <w:rsid w:val="00F26F4E"/>
    <w:rsid w:val="00F665C4"/>
    <w:rsid w:val="00F976F1"/>
    <w:rsid w:val="00FC7D66"/>
    <w:rsid w:val="00FD205B"/>
    <w:rsid w:val="00FF6F4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0B9FD3"/>
  <w15:docId w15:val="{C4025C5A-20F2-48BC-B279-311FF48149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0E05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0E0542"/>
    <w:pPr>
      <w:ind w:left="720"/>
      <w:contextualSpacing/>
    </w:pPr>
  </w:style>
  <w:style w:type="table" w:styleId="MittleresRaster3-Akzent5">
    <w:name w:val="Medium Grid 3 Accent 5"/>
    <w:basedOn w:val="NormaleTabelle"/>
    <w:uiPriority w:val="69"/>
    <w:rsid w:val="00BD273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ittlereListe2-Akzent5">
    <w:name w:val="Medium List 2 Accent 5"/>
    <w:basedOn w:val="NormaleTabelle"/>
    <w:uiPriority w:val="66"/>
    <w:rsid w:val="00BD273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HelleListe-Akzent3">
    <w:name w:val="Light List Accent 3"/>
    <w:basedOn w:val="NormaleTabelle"/>
    <w:uiPriority w:val="61"/>
    <w:rsid w:val="00BE0656"/>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MittlereSchattierung1-Akzent3">
    <w:name w:val="Medium Shading 1 Accent 3"/>
    <w:basedOn w:val="NormaleTabelle"/>
    <w:uiPriority w:val="63"/>
    <w:rsid w:val="00BE0656"/>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paragraph" w:styleId="Sprechblasentext">
    <w:name w:val="Balloon Text"/>
    <w:basedOn w:val="Standard"/>
    <w:link w:val="SprechblasentextZchn"/>
    <w:uiPriority w:val="99"/>
    <w:semiHidden/>
    <w:unhideWhenUsed/>
    <w:rsid w:val="00A823F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823F1"/>
    <w:rPr>
      <w:rFonts w:ascii="Tahoma" w:hAnsi="Tahoma" w:cs="Tahoma"/>
      <w:sz w:val="16"/>
      <w:szCs w:val="16"/>
    </w:rPr>
  </w:style>
  <w:style w:type="paragraph" w:styleId="Kopfzeile">
    <w:name w:val="header"/>
    <w:basedOn w:val="Standard"/>
    <w:link w:val="KopfzeileZchn"/>
    <w:uiPriority w:val="99"/>
    <w:unhideWhenUsed/>
    <w:rsid w:val="00A7761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7761C"/>
  </w:style>
  <w:style w:type="paragraph" w:styleId="Fuzeile">
    <w:name w:val="footer"/>
    <w:basedOn w:val="Standard"/>
    <w:link w:val="FuzeileZchn"/>
    <w:uiPriority w:val="99"/>
    <w:unhideWhenUsed/>
    <w:rsid w:val="00A7761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7761C"/>
  </w:style>
  <w:style w:type="character" w:styleId="Hyperlink">
    <w:name w:val="Hyperlink"/>
    <w:basedOn w:val="Absatz-Standardschriftart"/>
    <w:uiPriority w:val="99"/>
    <w:unhideWhenUsed/>
    <w:rsid w:val="00A7761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473</Words>
  <Characters>2987</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Rocker, Dagmar</dc:creator>
  <cp:lastModifiedBy>Bergen, Peter</cp:lastModifiedBy>
  <cp:revision>2</cp:revision>
  <dcterms:created xsi:type="dcterms:W3CDTF">2020-01-22T12:11:00Z</dcterms:created>
  <dcterms:modified xsi:type="dcterms:W3CDTF">2020-01-22T12:11:00Z</dcterms:modified>
</cp:coreProperties>
</file>