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924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92D050"/>
          </w:tcPr>
          <w:p w:rsidR="00D73EB5" w:rsidRPr="00D71B99" w:rsidRDefault="00566F83" w:rsidP="0056149A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Bewegungsschienen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566F83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566F83" w:rsidRDefault="00566F83" w:rsidP="00D4544E">
            <w:pPr>
              <w:spacing w:after="12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Motorbewegungsschienen beüben passiv (CPM) oder aktiv (CAM) den Bewegungsumfang von Gelenken an oberen (Schulter-, Ellbogen- Hand- und Fingergelenke) und unteren (Hüft-, Knie- und Sprunggelenk) Extremitäten.</w:t>
            </w:r>
          </w:p>
          <w:p w:rsidR="00566F83" w:rsidRPr="009D7BC5" w:rsidRDefault="00566F83" w:rsidP="00D4544E">
            <w:pPr>
              <w:spacing w:after="12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Je nach vorgesehenem Gelenk wird sitzend (Schiene ist am Stuhl angebracht) oder liegend (Schiene ist auf der Liege positioniert) kontinuierlich und vom Bewegungs</w:t>
            </w:r>
            <w:r>
              <w:rPr>
                <w:b w:val="0"/>
                <w:sz w:val="20"/>
                <w:szCs w:val="20"/>
              </w:rPr>
              <w:softHyphen/>
              <w:t>ausmaß her kontrolliert das Gelenk ein- oder mehrmals täglich belastungsfrei durchbewegt.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566F83" w:rsidRPr="009D7BC5" w:rsidRDefault="00566F83" w:rsidP="00566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Rehabilitand</w:t>
            </w:r>
            <w:r w:rsidRPr="00EF7360">
              <w:rPr>
                <w:sz w:val="20"/>
                <w:szCs w:val="20"/>
              </w:rPr>
              <w:t xml:space="preserve"> betr</w:t>
            </w:r>
            <w:r>
              <w:rPr>
                <w:sz w:val="20"/>
                <w:szCs w:val="20"/>
              </w:rPr>
              <w:t>itt</w:t>
            </w:r>
            <w:r w:rsidRPr="00EF7360">
              <w:rPr>
                <w:sz w:val="20"/>
                <w:szCs w:val="20"/>
              </w:rPr>
              <w:t xml:space="preserve"> den Behandlungsraum und w</w:t>
            </w:r>
            <w:r>
              <w:rPr>
                <w:sz w:val="20"/>
                <w:szCs w:val="20"/>
              </w:rPr>
              <w:t xml:space="preserve">ird </w:t>
            </w:r>
            <w:r w:rsidRPr="00EF7360">
              <w:rPr>
                <w:sz w:val="20"/>
                <w:szCs w:val="20"/>
              </w:rPr>
              <w:t>vom Therapeuten auf der jeweiligen Behandlungs</w:t>
            </w:r>
            <w:r>
              <w:rPr>
                <w:sz w:val="20"/>
                <w:szCs w:val="20"/>
              </w:rPr>
              <w:softHyphen/>
            </w:r>
            <w:r w:rsidRPr="00EF7360">
              <w:rPr>
                <w:sz w:val="20"/>
                <w:szCs w:val="20"/>
              </w:rPr>
              <w:t>einheit positioniert. Arm bzw. Bein werden in der Schiene abgelegt</w:t>
            </w:r>
            <w:r>
              <w:rPr>
                <w:sz w:val="20"/>
                <w:szCs w:val="20"/>
              </w:rPr>
              <w:t>, mit Gurten fixiert und</w:t>
            </w:r>
            <w:r w:rsidRPr="00EF7360">
              <w:rPr>
                <w:sz w:val="20"/>
                <w:szCs w:val="20"/>
              </w:rPr>
              <w:t xml:space="preserve"> von der Schiene durchbewegt. </w:t>
            </w:r>
            <w:r>
              <w:rPr>
                <w:sz w:val="20"/>
                <w:szCs w:val="20"/>
              </w:rPr>
              <w:t xml:space="preserve">Der Rehabilitand </w:t>
            </w:r>
            <w:r w:rsidRPr="00EF7360">
              <w:rPr>
                <w:sz w:val="20"/>
                <w:szCs w:val="20"/>
              </w:rPr>
              <w:t>entkleidet sich nicht</w:t>
            </w:r>
            <w:r>
              <w:rPr>
                <w:sz w:val="20"/>
                <w:szCs w:val="20"/>
              </w:rPr>
              <w:t>, so dass in der Regel kein direkter Hautkon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takt zwischen Extremität und Ablagefläche der Schiene stattfindet. Er </w:t>
            </w:r>
            <w:r w:rsidRPr="00EF7360">
              <w:rPr>
                <w:sz w:val="20"/>
                <w:szCs w:val="20"/>
              </w:rPr>
              <w:t xml:space="preserve">verlässt </w:t>
            </w:r>
            <w:r>
              <w:rPr>
                <w:sz w:val="20"/>
                <w:szCs w:val="20"/>
              </w:rPr>
              <w:t xml:space="preserve">direkt </w:t>
            </w:r>
            <w:r w:rsidRPr="00EF7360">
              <w:rPr>
                <w:sz w:val="20"/>
                <w:szCs w:val="20"/>
              </w:rPr>
              <w:t>nach der Behandlung den Raum.</w:t>
            </w:r>
          </w:p>
        </w:tc>
      </w:tr>
      <w:tr w:rsidR="001D044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8A18F7" w:rsidP="002F50C3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CB3268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CB3268" w:rsidRPr="009D7BC5" w:rsidRDefault="00CB3268" w:rsidP="00CB3268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 w:rsidRPr="009D7BC5">
              <w:rPr>
                <w:b w:val="0"/>
                <w:sz w:val="20"/>
                <w:szCs w:val="20"/>
              </w:rPr>
              <w:t>Sitz- und Liegeflächen während der Therapie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CB3268" w:rsidRPr="009D7BC5" w:rsidRDefault="00CB3268" w:rsidP="00CB3268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>Hand- und Hautkontakt der</w:t>
            </w:r>
            <w:r>
              <w:rPr>
                <w:sz w:val="20"/>
                <w:szCs w:val="20"/>
              </w:rPr>
              <w:t xml:space="preserve"> Patienten mit Behandlungsstuhl (obere Extremität), Liegen (untere Extremitäten) und Schienen</w:t>
            </w:r>
          </w:p>
        </w:tc>
      </w:tr>
      <w:tr w:rsidR="00CB3268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CB3268" w:rsidRPr="009D7BC5" w:rsidRDefault="00CB3268" w:rsidP="00CB3268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9D7BC5">
              <w:rPr>
                <w:b w:val="0"/>
                <w:sz w:val="20"/>
                <w:szCs w:val="20"/>
              </w:rPr>
              <w:t xml:space="preserve">Hände des Therapeuten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CB3268" w:rsidRPr="009D7BC5" w:rsidRDefault="00CB3268" w:rsidP="00CB3268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>Hilfestellung</w:t>
            </w:r>
            <w:r>
              <w:rPr>
                <w:sz w:val="20"/>
                <w:szCs w:val="20"/>
              </w:rPr>
              <w:t xml:space="preserve"> beim Einlegen der Extremität in die Schiene</w:t>
            </w:r>
            <w:r w:rsidRPr="009D7BC5">
              <w:rPr>
                <w:sz w:val="20"/>
                <w:szCs w:val="20"/>
              </w:rPr>
              <w:t xml:space="preserve"> und </w:t>
            </w:r>
            <w:r>
              <w:rPr>
                <w:sz w:val="20"/>
                <w:szCs w:val="20"/>
              </w:rPr>
              <w:t xml:space="preserve">ggf. </w:t>
            </w:r>
            <w:r w:rsidRPr="009D7BC5">
              <w:rPr>
                <w:sz w:val="20"/>
                <w:szCs w:val="20"/>
              </w:rPr>
              <w:t>Korrektur des Patienten</w:t>
            </w:r>
          </w:p>
        </w:tc>
      </w:tr>
      <w:tr w:rsidR="00CB3268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CB3268" w:rsidRPr="009D7BC5" w:rsidRDefault="00CB3268" w:rsidP="00CB3268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 w:rsidRPr="009D7BC5">
              <w:rPr>
                <w:b w:val="0"/>
                <w:sz w:val="20"/>
                <w:szCs w:val="20"/>
              </w:rPr>
              <w:t>Sitz- und Liegeflächen während der Therapie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CB3268" w:rsidRPr="009D7BC5" w:rsidRDefault="00CB3268" w:rsidP="00CB3268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>Hand- und Hautkontakt der</w:t>
            </w:r>
            <w:r>
              <w:rPr>
                <w:sz w:val="20"/>
                <w:szCs w:val="20"/>
              </w:rPr>
              <w:t xml:space="preserve"> Patienten mit Behandlungsstuhl (obere Extremität), Liegen (untere Extremitäten) und Schienen</w:t>
            </w:r>
          </w:p>
        </w:tc>
      </w:tr>
      <w:tr w:rsidR="00D73EB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73EB5" w:rsidRDefault="008A18F7" w:rsidP="002F50C3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 xml:space="preserve">Anwendungsspezifische </w:t>
            </w:r>
            <w:r w:rsidR="00D73EB5">
              <w:t xml:space="preserve">Maßnahmen der </w:t>
            </w:r>
            <w:r w:rsidR="00D73EB5" w:rsidRPr="003414BA">
              <w:rPr>
                <w:u w:val="single"/>
              </w:rPr>
              <w:t>Basishygiene</w:t>
            </w:r>
            <w:r w:rsidR="00D73EB5">
              <w:t xml:space="preserve"> um Übertragungen von Biostoffen zu verhindern</w:t>
            </w:r>
          </w:p>
        </w:tc>
      </w:tr>
      <w:tr w:rsidR="00D73EB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074D1A" w:rsidRPr="003B358B" w:rsidRDefault="00DC5FFC" w:rsidP="00566F83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 w:rsidRPr="00C671C4">
              <w:rPr>
                <w:rFonts w:eastAsiaTheme="majorEastAsia" w:cstheme="majorBidi"/>
                <w:b w:val="0"/>
                <w:sz w:val="20"/>
                <w:szCs w:val="20"/>
              </w:rPr>
              <w:t>Wenn die behandelte Extremität entkleidet in der Schiene abgelegt wird ist die anschließende sofortige desinfizierende Reinigung der Ablageflächen erforderlich</w:t>
            </w:r>
          </w:p>
        </w:tc>
      </w:tr>
      <w:tr w:rsidR="00D73EB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73EB5" w:rsidRPr="00D73EB5" w:rsidRDefault="00D73EB5" w:rsidP="008A18F7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D73EB5">
              <w:t>Ergänzende und abweichende Vorgehensweisen bei MRE-Besiedlung (</w:t>
            </w:r>
            <w:r w:rsidRPr="003414BA">
              <w:rPr>
                <w:u w:val="single"/>
              </w:rPr>
              <w:t>Interventionsmaßnahmen</w:t>
            </w:r>
            <w:r w:rsidRPr="00D73EB5">
              <w:t>)</w:t>
            </w:r>
          </w:p>
        </w:tc>
      </w:tr>
      <w:tr w:rsidR="00966C5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D71B99" w:rsidRPr="009D3437" w:rsidRDefault="00A7761C" w:rsidP="005A00B3">
            <w:pPr>
              <w:pStyle w:val="Listenabsatz"/>
              <w:numPr>
                <w:ilvl w:val="0"/>
                <w:numId w:val="11"/>
              </w:numPr>
              <w:ind w:left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3EB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73EB5" w:rsidRPr="003B358B" w:rsidRDefault="00D73EB5" w:rsidP="002F50C3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 w:rsidR="002F50C3">
              <w:t xml:space="preserve"> und Ergänzendes</w:t>
            </w:r>
          </w:p>
        </w:tc>
      </w:tr>
      <w:tr w:rsidR="00D73EB5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2F50C3" w:rsidRPr="007D5AB6" w:rsidRDefault="00DC5FFC" w:rsidP="009242F4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>
              <w:rPr>
                <w:b w:val="0"/>
                <w:sz w:val="20"/>
                <w:szCs w:val="20"/>
              </w:rPr>
              <w:t>Wird die Mobilisation in der Schiene an unbekleideten Extremitäten durchgeführt, ist zu prüfen, ob die Gurte im Regelbetrieb desinfizierend aufzubereiten sind. Sollte dieses nicht möglich sein, muss der MRE-Patient diese Therapie bekleidet durchführen, ggf. entfällt diese Therapieform.</w:t>
            </w:r>
          </w:p>
        </w:tc>
      </w:tr>
      <w:tr w:rsidR="00966C55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966C55" w:rsidRDefault="00966C55" w:rsidP="00966C55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9242F4">
              <w:rPr>
                <w:color w:val="000000" w:themeColor="text1"/>
              </w:rPr>
              <w:t>Quellen</w:t>
            </w:r>
          </w:p>
        </w:tc>
      </w:tr>
      <w:tr w:rsidR="00966C55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6E1805" w:rsidRDefault="006E1805" w:rsidP="00A7761C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Anforderungen an die Aufbereitung von Medizinprodukten </w:t>
            </w:r>
            <w:r w:rsidR="00A7761C">
              <w:rPr>
                <w:b w:val="0"/>
                <w:sz w:val="20"/>
                <w:szCs w:val="20"/>
              </w:rPr>
              <w:t>(</w:t>
            </w:r>
            <w:hyperlink r:id="rId7" w:history="1">
              <w:r w:rsidR="00A7761C" w:rsidRPr="00B53D9C">
                <w:rPr>
                  <w:rStyle w:val="Hyperlink"/>
                  <w:sz w:val="20"/>
                  <w:szCs w:val="20"/>
                </w:rPr>
                <w:t>https://www.rki.de/DE/Content/Infekt/Krankenhaushygiene/Kommission/Downloads/Medprod_Rili_2012.pdf?__blob=publicationFile</w:t>
              </w:r>
            </w:hyperlink>
            <w:r w:rsidR="00A7761C">
              <w:rPr>
                <w:b w:val="0"/>
                <w:sz w:val="20"/>
                <w:szCs w:val="20"/>
              </w:rPr>
              <w:t xml:space="preserve"> )</w:t>
            </w:r>
          </w:p>
          <w:p w:rsidR="00966C55" w:rsidRDefault="006E1805" w:rsidP="006E1805">
            <w:pPr>
              <w:pStyle w:val="Listenabsatz"/>
              <w:numPr>
                <w:ilvl w:val="0"/>
                <w:numId w:val="10"/>
              </w:numPr>
            </w:pPr>
            <w:r w:rsidRPr="002C6E7A">
              <w:rPr>
                <w:b w:val="0"/>
                <w:sz w:val="20"/>
                <w:szCs w:val="20"/>
              </w:rPr>
              <w:t>Herstellerangaben zu den Übungsgeräten sind zu beachten</w:t>
            </w:r>
          </w:p>
        </w:tc>
      </w:tr>
    </w:tbl>
    <w:p w:rsidR="00BD2737" w:rsidRDefault="00BD2737"/>
    <w:sectPr w:rsidR="00BD2737" w:rsidSect="008B6B26">
      <w:headerReference w:type="default" r:id="rId8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566F83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566F83">
            <w:rPr>
              <w:sz w:val="24"/>
              <w:szCs w:val="24"/>
            </w:rPr>
            <w:t>Bewegungsschienen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4544E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D4544E">
            <w:fldChar w:fldCharType="begin"/>
          </w:r>
          <w:r w:rsidR="00D4544E">
            <w:instrText xml:space="preserve"> NUMPAGES  \* Arabic  \* MERGEFORMAT </w:instrText>
          </w:r>
          <w:r w:rsidR="00D4544E">
            <w:fldChar w:fldCharType="separate"/>
          </w:r>
          <w:r w:rsidR="00D4544E">
            <w:rPr>
              <w:noProof/>
            </w:rPr>
            <w:t>1</w:t>
          </w:r>
          <w:r w:rsidR="00D4544E">
            <w:rPr>
              <w:noProof/>
            </w:rPr>
            <w:fldChar w:fldCharType="end"/>
          </w:r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76E2"/>
    <w:rsid w:val="0051317A"/>
    <w:rsid w:val="0056149A"/>
    <w:rsid w:val="00566F83"/>
    <w:rsid w:val="005A00B3"/>
    <w:rsid w:val="005B0D28"/>
    <w:rsid w:val="00617624"/>
    <w:rsid w:val="00696D8C"/>
    <w:rsid w:val="006C6A45"/>
    <w:rsid w:val="006E1805"/>
    <w:rsid w:val="006E4641"/>
    <w:rsid w:val="00712616"/>
    <w:rsid w:val="007924E7"/>
    <w:rsid w:val="007D5AB6"/>
    <w:rsid w:val="00833FA9"/>
    <w:rsid w:val="008A18F7"/>
    <w:rsid w:val="008B6131"/>
    <w:rsid w:val="008B6B26"/>
    <w:rsid w:val="008F1F8E"/>
    <w:rsid w:val="009242F4"/>
    <w:rsid w:val="0095731B"/>
    <w:rsid w:val="00966C55"/>
    <w:rsid w:val="009749DA"/>
    <w:rsid w:val="009D3437"/>
    <w:rsid w:val="009E77FF"/>
    <w:rsid w:val="00A7761C"/>
    <w:rsid w:val="00A823F1"/>
    <w:rsid w:val="00B2101D"/>
    <w:rsid w:val="00BD2737"/>
    <w:rsid w:val="00BE0656"/>
    <w:rsid w:val="00BE0ACC"/>
    <w:rsid w:val="00C14245"/>
    <w:rsid w:val="00C76678"/>
    <w:rsid w:val="00CB3268"/>
    <w:rsid w:val="00CC0681"/>
    <w:rsid w:val="00CE72E7"/>
    <w:rsid w:val="00D4544E"/>
    <w:rsid w:val="00D67CE7"/>
    <w:rsid w:val="00D71B99"/>
    <w:rsid w:val="00D73EB5"/>
    <w:rsid w:val="00DC5FFC"/>
    <w:rsid w:val="00E00A34"/>
    <w:rsid w:val="00E530EA"/>
    <w:rsid w:val="00ED1AC2"/>
    <w:rsid w:val="00EE6D7C"/>
    <w:rsid w:val="00F001B8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ki.de/DE/Content/Infekt/Krankenhaushygiene/Kommission/Downloads/Medprod_Rili_2012.pdf?__blob=publicationFi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3</cp:revision>
  <dcterms:created xsi:type="dcterms:W3CDTF">2020-01-20T13:09:00Z</dcterms:created>
  <dcterms:modified xsi:type="dcterms:W3CDTF">2020-01-21T09:25:00Z</dcterms:modified>
</cp:coreProperties>
</file>